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CA4A2" w14:textId="77777777" w:rsidR="006258A6" w:rsidRPr="003347D9" w:rsidRDefault="00F82DC4" w:rsidP="00F82DC4">
      <w:pPr>
        <w:jc w:val="center"/>
        <w:rPr>
          <w:rFonts w:ascii="Copperplate Gothic Light" w:hAnsi="Copperplate Gothic Light"/>
          <w:sz w:val="32"/>
          <w:szCs w:val="32"/>
        </w:rPr>
      </w:pPr>
      <w:r w:rsidRPr="003347D9">
        <w:rPr>
          <w:rFonts w:ascii="Copperplate Gothic Light" w:hAnsi="Copperplate Gothic Light"/>
          <w:sz w:val="32"/>
          <w:szCs w:val="32"/>
        </w:rPr>
        <w:t>Manchester Community College</w:t>
      </w:r>
    </w:p>
    <w:p w14:paraId="7894B776" w14:textId="77777777" w:rsidR="006258A6" w:rsidRPr="003347D9" w:rsidRDefault="006258A6">
      <w:pPr>
        <w:rPr>
          <w:sz w:val="16"/>
          <w:szCs w:val="16"/>
        </w:rPr>
      </w:pPr>
    </w:p>
    <w:p w14:paraId="7C4F172F" w14:textId="77777777" w:rsidR="006258A6" w:rsidRPr="003347D9" w:rsidRDefault="00C560AA" w:rsidP="00C560AA">
      <w:pPr>
        <w:jc w:val="center"/>
        <w:rPr>
          <w:b/>
          <w:sz w:val="24"/>
          <w:szCs w:val="24"/>
        </w:rPr>
      </w:pPr>
      <w:r w:rsidRPr="003347D9">
        <w:rPr>
          <w:b/>
          <w:sz w:val="24"/>
          <w:szCs w:val="24"/>
        </w:rPr>
        <w:t>COURSE SYLLABUS</w:t>
      </w:r>
    </w:p>
    <w:p w14:paraId="013966E1" w14:textId="77777777" w:rsidR="001F3307" w:rsidRDefault="001F3307" w:rsidP="001F3307">
      <w:pPr>
        <w:rPr>
          <w:b/>
        </w:rPr>
      </w:pPr>
    </w:p>
    <w:p w14:paraId="122C8282" w14:textId="77777777" w:rsidR="00C560AA" w:rsidRPr="00617F65" w:rsidRDefault="003347D9" w:rsidP="001F3307">
      <w:pPr>
        <w:spacing w:line="240" w:lineRule="auto"/>
        <w:rPr>
          <w:b/>
          <w:highlight w:val="yellow"/>
        </w:rPr>
      </w:pPr>
      <w:r w:rsidRPr="00617F65">
        <w:rPr>
          <w:b/>
          <w:highlight w:val="yellow"/>
        </w:rPr>
        <w:t>Course Name, Credits</w:t>
      </w:r>
      <w:r w:rsidR="001F3307" w:rsidRPr="00617F65">
        <w:rPr>
          <w:b/>
          <w:highlight w:val="yellow"/>
        </w:rPr>
        <w:t>:</w:t>
      </w:r>
    </w:p>
    <w:p w14:paraId="5097749E" w14:textId="77777777" w:rsidR="00C560AA" w:rsidRPr="00617F65" w:rsidRDefault="00C560AA" w:rsidP="001F3307">
      <w:pPr>
        <w:spacing w:line="240" w:lineRule="auto"/>
        <w:jc w:val="center"/>
        <w:rPr>
          <w:highlight w:val="yellow"/>
        </w:rPr>
      </w:pPr>
    </w:p>
    <w:p w14:paraId="5D61AA00" w14:textId="77777777" w:rsidR="003347D9" w:rsidRPr="00A64712" w:rsidRDefault="003347D9" w:rsidP="001F3307">
      <w:pPr>
        <w:spacing w:line="240" w:lineRule="auto"/>
        <w:rPr>
          <w:b/>
        </w:rPr>
      </w:pPr>
      <w:r w:rsidRPr="00A64712">
        <w:rPr>
          <w:b/>
          <w:highlight w:val="yellow"/>
        </w:rPr>
        <w:t>Course Number</w:t>
      </w:r>
      <w:r w:rsidRPr="00A64712">
        <w:t>:</w:t>
      </w:r>
      <w:r w:rsidRPr="00A64712">
        <w:tab/>
      </w:r>
      <w:r w:rsidRPr="00A64712">
        <w:tab/>
      </w:r>
      <w:r w:rsidR="00F35558" w:rsidRPr="00A64712">
        <w:tab/>
      </w:r>
      <w:r w:rsidR="00F35558" w:rsidRPr="00A64712">
        <w:tab/>
      </w:r>
      <w:r w:rsidR="00F35558" w:rsidRPr="00A64712">
        <w:tab/>
      </w:r>
      <w:r w:rsidR="00F35558" w:rsidRPr="00A64712">
        <w:tab/>
      </w:r>
      <w:r w:rsidRPr="00A64712">
        <w:rPr>
          <w:b/>
        </w:rPr>
        <w:t>I</w:t>
      </w:r>
      <w:r w:rsidRPr="00A64712">
        <w:rPr>
          <w:b/>
          <w:highlight w:val="yellow"/>
        </w:rPr>
        <w:t>nstructor</w:t>
      </w:r>
      <w:r w:rsidRPr="00A64712">
        <w:rPr>
          <w:b/>
        </w:rPr>
        <w:t>:</w:t>
      </w:r>
    </w:p>
    <w:p w14:paraId="06C3A702" w14:textId="77777777" w:rsidR="003347D9" w:rsidRPr="00617F65" w:rsidRDefault="003347D9" w:rsidP="001F3307">
      <w:pPr>
        <w:spacing w:line="240" w:lineRule="auto"/>
        <w:rPr>
          <w:b/>
          <w:highlight w:val="yellow"/>
        </w:rPr>
      </w:pPr>
    </w:p>
    <w:p w14:paraId="1AEAA583" w14:textId="77777777" w:rsidR="00F35558" w:rsidRPr="00A64712" w:rsidRDefault="0041004F" w:rsidP="001F3307">
      <w:pPr>
        <w:spacing w:line="240" w:lineRule="auto"/>
      </w:pPr>
      <w:r w:rsidRPr="008B4037">
        <w:rPr>
          <w:b/>
        </w:rPr>
        <w:t>CRN:</w:t>
      </w:r>
      <w:r w:rsidR="008B4037">
        <w:rPr>
          <w:b/>
        </w:rPr>
        <w:t xml:space="preserve">  tba</w:t>
      </w:r>
      <w:r w:rsidRPr="00A64712">
        <w:tab/>
      </w:r>
      <w:r w:rsidRPr="00A64712">
        <w:tab/>
      </w:r>
      <w:r w:rsidRPr="00A64712">
        <w:tab/>
      </w:r>
      <w:r w:rsidR="00F35558" w:rsidRPr="00A64712">
        <w:tab/>
      </w:r>
      <w:r w:rsidR="00F35558" w:rsidRPr="00A64712">
        <w:tab/>
      </w:r>
      <w:r w:rsidR="00F35558" w:rsidRPr="00A64712">
        <w:tab/>
      </w:r>
      <w:r w:rsidR="00F35558" w:rsidRPr="00A64712">
        <w:tab/>
      </w:r>
      <w:r w:rsidR="00F35558" w:rsidRPr="00A64712">
        <w:rPr>
          <w:b/>
          <w:highlight w:val="yellow"/>
        </w:rPr>
        <w:t>Contact Information:</w:t>
      </w:r>
    </w:p>
    <w:p w14:paraId="36DC4564" w14:textId="77777777" w:rsidR="00F35558" w:rsidRPr="00617F65" w:rsidRDefault="00F35558" w:rsidP="001F3307">
      <w:pPr>
        <w:spacing w:line="240" w:lineRule="auto"/>
        <w:rPr>
          <w:b/>
          <w:highlight w:val="yellow"/>
        </w:rPr>
      </w:pPr>
    </w:p>
    <w:p w14:paraId="3B5EED03" w14:textId="77777777" w:rsidR="003347D9" w:rsidRDefault="003347D9" w:rsidP="001F3307">
      <w:pPr>
        <w:spacing w:line="240" w:lineRule="auto"/>
        <w:rPr>
          <w:b/>
        </w:rPr>
      </w:pPr>
      <w:r w:rsidRPr="00617F65">
        <w:rPr>
          <w:b/>
          <w:highlight w:val="yellow"/>
        </w:rPr>
        <w:t>Semester/Year</w:t>
      </w:r>
      <w:r>
        <w:rPr>
          <w:b/>
        </w:rPr>
        <w:t>:</w:t>
      </w:r>
    </w:p>
    <w:p w14:paraId="43B76435" w14:textId="77777777" w:rsidR="003347D9" w:rsidRDefault="003347D9" w:rsidP="001F3307">
      <w:pPr>
        <w:spacing w:line="240" w:lineRule="auto"/>
        <w:rPr>
          <w:b/>
        </w:rPr>
      </w:pPr>
    </w:p>
    <w:p w14:paraId="6D8C101B" w14:textId="77777777" w:rsidR="001F3307" w:rsidRDefault="001F3307" w:rsidP="001F3307">
      <w:pPr>
        <w:spacing w:line="240" w:lineRule="auto"/>
      </w:pPr>
    </w:p>
    <w:p w14:paraId="3152C742" w14:textId="77777777" w:rsidR="003347D9" w:rsidRDefault="003347D9">
      <w:r>
        <w:t>_____________________________________________________________________________________</w:t>
      </w:r>
    </w:p>
    <w:p w14:paraId="4FB2F4BC" w14:textId="77777777" w:rsidR="003347D9" w:rsidRPr="00250D15" w:rsidRDefault="003347D9" w:rsidP="001F3307">
      <w:pPr>
        <w:spacing w:line="240" w:lineRule="auto"/>
        <w:rPr>
          <w:i/>
        </w:rPr>
      </w:pPr>
      <w:r w:rsidRPr="00617F65">
        <w:rPr>
          <w:b/>
          <w:highlight w:val="yellow"/>
        </w:rPr>
        <w:t>Catalog Description</w:t>
      </w:r>
      <w:r w:rsidR="00617F65">
        <w:rPr>
          <w:b/>
        </w:rPr>
        <w:t xml:space="preserve"> (</w:t>
      </w:r>
      <w:r w:rsidR="00617F65" w:rsidRPr="00617F65">
        <w:rPr>
          <w:b/>
          <w:i/>
        </w:rPr>
        <w:t>from the applicable CCO</w:t>
      </w:r>
      <w:r w:rsidR="00617F65">
        <w:rPr>
          <w:b/>
        </w:rPr>
        <w:t>)</w:t>
      </w:r>
      <w:r>
        <w:rPr>
          <w:b/>
        </w:rPr>
        <w:t xml:space="preserve">: </w:t>
      </w:r>
    </w:p>
    <w:p w14:paraId="1F63AE42" w14:textId="77777777" w:rsidR="003347D9" w:rsidRDefault="003347D9" w:rsidP="001F3307">
      <w:pPr>
        <w:spacing w:line="240" w:lineRule="auto"/>
      </w:pPr>
    </w:p>
    <w:p w14:paraId="4E20EB46" w14:textId="77777777" w:rsidR="001F3307" w:rsidRDefault="001F3307" w:rsidP="001F3307">
      <w:pPr>
        <w:spacing w:line="240" w:lineRule="auto"/>
        <w:rPr>
          <w:b/>
        </w:rPr>
      </w:pPr>
    </w:p>
    <w:p w14:paraId="5FEEB957" w14:textId="77777777" w:rsidR="001F3307" w:rsidRDefault="001F3307" w:rsidP="001F3307">
      <w:pPr>
        <w:spacing w:line="240" w:lineRule="auto"/>
        <w:rPr>
          <w:b/>
        </w:rPr>
      </w:pPr>
    </w:p>
    <w:p w14:paraId="6449216F" w14:textId="77777777" w:rsidR="0041004F" w:rsidRDefault="0041004F" w:rsidP="0041004F">
      <w:pPr>
        <w:spacing w:line="240" w:lineRule="auto"/>
      </w:pPr>
      <w:r w:rsidRPr="00617F65">
        <w:rPr>
          <w:b/>
          <w:highlight w:val="yellow"/>
        </w:rPr>
        <w:t>Course Pre-requisites/Co-requisites:</w:t>
      </w:r>
      <w:r>
        <w:t xml:space="preserve"> </w:t>
      </w:r>
    </w:p>
    <w:p w14:paraId="64948F91" w14:textId="77777777" w:rsidR="001F3307" w:rsidRDefault="001F3307" w:rsidP="001F3307">
      <w:pPr>
        <w:spacing w:line="240" w:lineRule="auto"/>
        <w:rPr>
          <w:b/>
        </w:rPr>
      </w:pPr>
    </w:p>
    <w:p w14:paraId="32548B43" w14:textId="77777777" w:rsidR="001F3307" w:rsidRDefault="001F3307" w:rsidP="001F3307">
      <w:pPr>
        <w:spacing w:line="240" w:lineRule="auto"/>
        <w:rPr>
          <w:b/>
        </w:rPr>
      </w:pPr>
    </w:p>
    <w:p w14:paraId="706F5E28" w14:textId="77777777" w:rsidR="001F3307" w:rsidRDefault="001F3307" w:rsidP="001F3307">
      <w:pPr>
        <w:spacing w:line="240" w:lineRule="auto"/>
      </w:pPr>
      <w:r w:rsidRPr="00617F65">
        <w:rPr>
          <w:b/>
          <w:highlight w:val="yellow"/>
        </w:rPr>
        <w:t>Learning Objectives</w:t>
      </w:r>
      <w:r w:rsidR="00C62F0D">
        <w:rPr>
          <w:b/>
          <w:highlight w:val="yellow"/>
        </w:rPr>
        <w:t xml:space="preserve"> </w:t>
      </w:r>
      <w:r w:rsidR="00C62F0D" w:rsidRPr="00C62F0D">
        <w:rPr>
          <w:b/>
        </w:rPr>
        <w:t>(</w:t>
      </w:r>
      <w:r w:rsidR="00C62F0D" w:rsidRPr="00C62F0D">
        <w:rPr>
          <w:b/>
          <w:i/>
        </w:rPr>
        <w:t>from the applicable CCO</w:t>
      </w:r>
      <w:r w:rsidR="00C62F0D">
        <w:rPr>
          <w:b/>
          <w:i/>
        </w:rPr>
        <w:t>)</w:t>
      </w:r>
      <w:r w:rsidRPr="00C62F0D">
        <w:rPr>
          <w:b/>
        </w:rPr>
        <w:t>:</w:t>
      </w:r>
      <w:r>
        <w:t xml:space="preserve"> </w:t>
      </w:r>
    </w:p>
    <w:p w14:paraId="7B7C160B" w14:textId="77777777" w:rsidR="001F3307" w:rsidRDefault="001F3307" w:rsidP="001F3307">
      <w:pPr>
        <w:spacing w:line="240" w:lineRule="auto"/>
        <w:rPr>
          <w:b/>
        </w:rPr>
      </w:pPr>
    </w:p>
    <w:p w14:paraId="6266AB64" w14:textId="77777777" w:rsidR="001F3307" w:rsidRDefault="001F3307" w:rsidP="001F3307">
      <w:pPr>
        <w:spacing w:line="240" w:lineRule="auto"/>
        <w:rPr>
          <w:b/>
        </w:rPr>
      </w:pPr>
    </w:p>
    <w:p w14:paraId="17C9FDDD" w14:textId="77777777" w:rsidR="001F3307" w:rsidRDefault="001F3307" w:rsidP="001F3307">
      <w:pPr>
        <w:spacing w:line="240" w:lineRule="auto"/>
        <w:rPr>
          <w:b/>
        </w:rPr>
      </w:pPr>
    </w:p>
    <w:p w14:paraId="3B1CB54B" w14:textId="77777777" w:rsidR="005C1B95" w:rsidRPr="00617F65" w:rsidRDefault="005C1B95" w:rsidP="001F3307">
      <w:pPr>
        <w:spacing w:line="240" w:lineRule="auto"/>
        <w:rPr>
          <w:b/>
          <w:highlight w:val="yellow"/>
        </w:rPr>
      </w:pPr>
      <w:r w:rsidRPr="00617F65">
        <w:rPr>
          <w:b/>
          <w:highlight w:val="yellow"/>
        </w:rPr>
        <w:t>Required Textbooks /</w:t>
      </w:r>
      <w:r w:rsidR="001F3307" w:rsidRPr="00617F65">
        <w:rPr>
          <w:b/>
          <w:highlight w:val="yellow"/>
        </w:rPr>
        <w:t>Reading/</w:t>
      </w:r>
      <w:r w:rsidRPr="00617F65">
        <w:rPr>
          <w:b/>
          <w:highlight w:val="yellow"/>
        </w:rPr>
        <w:t xml:space="preserve">Companion Website: </w:t>
      </w:r>
    </w:p>
    <w:p w14:paraId="5763C5F4" w14:textId="77777777" w:rsidR="001F3307" w:rsidRPr="00617F65" w:rsidRDefault="001F3307" w:rsidP="001F3307">
      <w:pPr>
        <w:spacing w:line="240" w:lineRule="auto"/>
        <w:rPr>
          <w:highlight w:val="yellow"/>
        </w:rPr>
      </w:pPr>
    </w:p>
    <w:p w14:paraId="29ADF4F6" w14:textId="77777777" w:rsidR="001F3307" w:rsidRPr="00617F65" w:rsidRDefault="001F3307">
      <w:pPr>
        <w:rPr>
          <w:highlight w:val="yellow"/>
        </w:rPr>
      </w:pPr>
    </w:p>
    <w:p w14:paraId="119B5A9C" w14:textId="77777777" w:rsidR="005C1B95" w:rsidRPr="00617F65" w:rsidRDefault="005C1B95">
      <w:pPr>
        <w:rPr>
          <w:highlight w:val="yellow"/>
        </w:rPr>
      </w:pPr>
      <w:r w:rsidRPr="00617F65">
        <w:rPr>
          <w:b/>
          <w:highlight w:val="yellow"/>
        </w:rPr>
        <w:t>Supplemental Materials</w:t>
      </w:r>
      <w:r w:rsidR="00FE42BC" w:rsidRPr="00617F65">
        <w:rPr>
          <w:b/>
          <w:highlight w:val="yellow"/>
        </w:rPr>
        <w:t xml:space="preserve"> (if applicable)</w:t>
      </w:r>
      <w:r w:rsidRPr="00617F65">
        <w:rPr>
          <w:b/>
          <w:highlight w:val="yellow"/>
        </w:rPr>
        <w:t>:</w:t>
      </w:r>
      <w:r w:rsidRPr="00617F65">
        <w:rPr>
          <w:highlight w:val="yellow"/>
        </w:rPr>
        <w:t xml:space="preserve"> </w:t>
      </w:r>
    </w:p>
    <w:p w14:paraId="0FEFD2F7" w14:textId="77777777" w:rsidR="005A0A3D" w:rsidRPr="00617F65" w:rsidRDefault="005A0A3D">
      <w:pPr>
        <w:rPr>
          <w:highlight w:val="yellow"/>
        </w:rPr>
      </w:pPr>
    </w:p>
    <w:p w14:paraId="7E7CFB5C" w14:textId="77777777" w:rsidR="0041004F" w:rsidRPr="00617F65" w:rsidRDefault="0041004F">
      <w:pPr>
        <w:rPr>
          <w:highlight w:val="yellow"/>
        </w:rPr>
      </w:pPr>
    </w:p>
    <w:p w14:paraId="1BC3EA04" w14:textId="77777777" w:rsidR="005A0A3D" w:rsidRDefault="005A0A3D" w:rsidP="001F3307">
      <w:pPr>
        <w:spacing w:line="240" w:lineRule="auto"/>
      </w:pPr>
      <w:r w:rsidRPr="00617F65">
        <w:rPr>
          <w:b/>
          <w:highlight w:val="yellow"/>
        </w:rPr>
        <w:t>Methods of Instruction</w:t>
      </w:r>
      <w:r w:rsidR="00FE42BC" w:rsidRPr="00617F65">
        <w:rPr>
          <w:b/>
          <w:highlight w:val="yellow"/>
        </w:rPr>
        <w:t xml:space="preserve"> (lecture, group work, etc.)</w:t>
      </w:r>
      <w:r w:rsidRPr="00617F65">
        <w:rPr>
          <w:b/>
          <w:highlight w:val="yellow"/>
        </w:rPr>
        <w:t>:</w:t>
      </w:r>
      <w:r>
        <w:rPr>
          <w:b/>
        </w:rPr>
        <w:t xml:space="preserve"> </w:t>
      </w:r>
    </w:p>
    <w:p w14:paraId="45F55D04" w14:textId="77777777" w:rsidR="00EA394D" w:rsidRDefault="00EA394D" w:rsidP="001F3307">
      <w:pPr>
        <w:spacing w:line="240" w:lineRule="auto"/>
      </w:pPr>
    </w:p>
    <w:p w14:paraId="70FE39D1" w14:textId="77777777" w:rsidR="001F3307" w:rsidRDefault="001F3307" w:rsidP="001F3307">
      <w:pPr>
        <w:spacing w:line="240" w:lineRule="auto"/>
      </w:pPr>
    </w:p>
    <w:p w14:paraId="63FCFF2F" w14:textId="77777777" w:rsidR="00EA394D" w:rsidRPr="00CD08BC" w:rsidRDefault="00EA394D" w:rsidP="00CD08BC">
      <w:pPr>
        <w:spacing w:line="240" w:lineRule="auto"/>
        <w:rPr>
          <w:b/>
          <w:i/>
        </w:rPr>
      </w:pPr>
      <w:r w:rsidRPr="00617F65">
        <w:rPr>
          <w:b/>
          <w:highlight w:val="yellow"/>
        </w:rPr>
        <w:t>Methods of Testing / Evaluation</w:t>
      </w:r>
      <w:r w:rsidR="001F3307" w:rsidRPr="00617F65">
        <w:rPr>
          <w:b/>
          <w:highlight w:val="yellow"/>
        </w:rPr>
        <w:t>/Assessment</w:t>
      </w:r>
      <w:r w:rsidR="00E134C4" w:rsidRPr="00617F65">
        <w:rPr>
          <w:b/>
          <w:highlight w:val="yellow"/>
        </w:rPr>
        <w:t xml:space="preserve"> (</w:t>
      </w:r>
      <w:r w:rsidR="00E134C4" w:rsidRPr="00617F65">
        <w:rPr>
          <w:b/>
          <w:i/>
          <w:highlight w:val="yellow"/>
        </w:rPr>
        <w:t>with Percentage of Final Grade</w:t>
      </w:r>
      <w:r w:rsidR="00E134C4" w:rsidRPr="00617F65">
        <w:rPr>
          <w:b/>
          <w:highlight w:val="yellow"/>
        </w:rPr>
        <w:t>)</w:t>
      </w:r>
      <w:r w:rsidRPr="00617F65">
        <w:rPr>
          <w:b/>
          <w:highlight w:val="yellow"/>
        </w:rPr>
        <w:t>:</w:t>
      </w:r>
      <w:r w:rsidRPr="00CD08BC">
        <w:rPr>
          <w:b/>
        </w:rPr>
        <w:t xml:space="preserve"> </w:t>
      </w:r>
    </w:p>
    <w:p w14:paraId="7BD69C71" w14:textId="77777777" w:rsidR="001F3307" w:rsidRDefault="001F3307" w:rsidP="005A0A3D"/>
    <w:p w14:paraId="733C8A3E" w14:textId="77777777" w:rsidR="003D6E55" w:rsidRPr="00617F65" w:rsidRDefault="003D6E55" w:rsidP="003D6E55">
      <w:pPr>
        <w:pStyle w:val="ListParagraph"/>
        <w:spacing w:line="240" w:lineRule="auto"/>
        <w:rPr>
          <w:b/>
          <w:highlight w:val="yellow"/>
        </w:rPr>
      </w:pPr>
    </w:p>
    <w:p w14:paraId="74905BA4" w14:textId="77777777" w:rsidR="003D6E55" w:rsidRDefault="003D6E55" w:rsidP="003D6E55">
      <w:pPr>
        <w:spacing w:line="240" w:lineRule="auto"/>
        <w:rPr>
          <w:b/>
          <w:highlight w:val="yellow"/>
        </w:rPr>
      </w:pPr>
      <w:r w:rsidRPr="003D6E55">
        <w:rPr>
          <w:b/>
          <w:highlight w:val="yellow"/>
        </w:rPr>
        <w:t>Attendance</w:t>
      </w:r>
    </w:p>
    <w:p w14:paraId="61188ACD" w14:textId="77777777" w:rsidR="008B4037" w:rsidRDefault="008B4037" w:rsidP="003D6E55">
      <w:pPr>
        <w:spacing w:line="240" w:lineRule="auto"/>
        <w:rPr>
          <w:b/>
          <w:highlight w:val="yellow"/>
        </w:rPr>
      </w:pPr>
    </w:p>
    <w:p w14:paraId="0591CDCB" w14:textId="77777777" w:rsidR="008B4037" w:rsidRDefault="008B4037" w:rsidP="003D6E55">
      <w:pPr>
        <w:spacing w:line="240" w:lineRule="auto"/>
        <w:rPr>
          <w:b/>
          <w:highlight w:val="yellow"/>
        </w:rPr>
      </w:pPr>
      <w:r>
        <w:rPr>
          <w:b/>
          <w:highlight w:val="yellow"/>
        </w:rPr>
        <w:t>Homework</w:t>
      </w:r>
    </w:p>
    <w:p w14:paraId="459086C3" w14:textId="77777777" w:rsidR="008B4037" w:rsidRPr="003D6E55" w:rsidRDefault="008B4037" w:rsidP="003D6E55">
      <w:pPr>
        <w:spacing w:line="240" w:lineRule="auto"/>
        <w:rPr>
          <w:b/>
          <w:highlight w:val="yellow"/>
        </w:rPr>
      </w:pPr>
    </w:p>
    <w:p w14:paraId="548ED283" w14:textId="77777777" w:rsidR="003D6E55" w:rsidRPr="003D6E55" w:rsidRDefault="003D6E55" w:rsidP="003D6E55">
      <w:pPr>
        <w:spacing w:line="240" w:lineRule="auto"/>
        <w:rPr>
          <w:b/>
          <w:highlight w:val="yellow"/>
        </w:rPr>
      </w:pPr>
      <w:r w:rsidRPr="003D6E55">
        <w:rPr>
          <w:b/>
          <w:highlight w:val="yellow"/>
        </w:rPr>
        <w:t>Missing work</w:t>
      </w:r>
    </w:p>
    <w:p w14:paraId="062EC61B" w14:textId="77777777" w:rsidR="003D6E55" w:rsidRPr="00617F65" w:rsidRDefault="003D6E55" w:rsidP="003D6E55">
      <w:pPr>
        <w:pStyle w:val="ListParagraph"/>
        <w:spacing w:line="240" w:lineRule="auto"/>
        <w:rPr>
          <w:b/>
          <w:highlight w:val="yellow"/>
        </w:rPr>
      </w:pPr>
    </w:p>
    <w:p w14:paraId="4B72BD78" w14:textId="77777777" w:rsidR="003D6E55" w:rsidRPr="003D6E55" w:rsidRDefault="003D6E55" w:rsidP="003D6E55">
      <w:pPr>
        <w:spacing w:line="240" w:lineRule="auto"/>
        <w:rPr>
          <w:b/>
          <w:highlight w:val="yellow"/>
        </w:rPr>
      </w:pPr>
      <w:r w:rsidRPr="003D6E55">
        <w:rPr>
          <w:b/>
          <w:highlight w:val="yellow"/>
        </w:rPr>
        <w:t>Late assignments</w:t>
      </w:r>
    </w:p>
    <w:p w14:paraId="0BDB7F43" w14:textId="77777777" w:rsidR="003D6E55" w:rsidRPr="00617F65" w:rsidRDefault="003D6E55" w:rsidP="003D6E55">
      <w:pPr>
        <w:pStyle w:val="ListParagraph"/>
        <w:spacing w:line="240" w:lineRule="auto"/>
        <w:rPr>
          <w:b/>
          <w:highlight w:val="yellow"/>
        </w:rPr>
      </w:pPr>
    </w:p>
    <w:p w14:paraId="7EADD892" w14:textId="77777777" w:rsidR="003D6E55" w:rsidRPr="003D6E55" w:rsidRDefault="003D6E55" w:rsidP="003D6E55">
      <w:pPr>
        <w:spacing w:line="240" w:lineRule="auto"/>
        <w:rPr>
          <w:b/>
          <w:highlight w:val="yellow"/>
        </w:rPr>
      </w:pPr>
      <w:r w:rsidRPr="003D6E55">
        <w:rPr>
          <w:b/>
          <w:highlight w:val="yellow"/>
        </w:rPr>
        <w:t>Cell phone/smart phone usage</w:t>
      </w:r>
    </w:p>
    <w:p w14:paraId="6E5A51D2" w14:textId="77777777" w:rsidR="003D6E55" w:rsidRDefault="003D6E55" w:rsidP="003D6E55">
      <w:pPr>
        <w:spacing w:line="240" w:lineRule="auto"/>
        <w:rPr>
          <w:b/>
        </w:rPr>
      </w:pPr>
    </w:p>
    <w:p w14:paraId="1A01DE00" w14:textId="77777777" w:rsidR="003D6E55" w:rsidRDefault="003D6E55" w:rsidP="003D6E55">
      <w:pPr>
        <w:rPr>
          <w:b/>
          <w:sz w:val="24"/>
          <w:szCs w:val="24"/>
          <w:highlight w:val="yellow"/>
        </w:rPr>
      </w:pPr>
    </w:p>
    <w:p w14:paraId="54AE7174" w14:textId="31D3A471" w:rsidR="003D6E55" w:rsidRPr="003D6E55" w:rsidRDefault="003D6E55" w:rsidP="003D6E55">
      <w:pPr>
        <w:rPr>
          <w:b/>
          <w:highlight w:val="yellow"/>
        </w:rPr>
      </w:pPr>
      <w:r w:rsidRPr="003D6E55">
        <w:rPr>
          <w:b/>
          <w:highlight w:val="yellow"/>
        </w:rPr>
        <w:t xml:space="preserve">List of Weekly </w:t>
      </w:r>
      <w:r w:rsidR="00B9052D">
        <w:rPr>
          <w:b/>
          <w:highlight w:val="yellow"/>
        </w:rPr>
        <w:t>or Bi-</w:t>
      </w:r>
      <w:bookmarkStart w:id="0" w:name="_GoBack"/>
      <w:bookmarkEnd w:id="0"/>
      <w:r w:rsidR="00B9052D">
        <w:rPr>
          <w:b/>
          <w:highlight w:val="yellow"/>
        </w:rPr>
        <w:t xml:space="preserve">Weekly </w:t>
      </w:r>
      <w:r w:rsidRPr="003D6E55">
        <w:rPr>
          <w:b/>
          <w:highlight w:val="yellow"/>
        </w:rPr>
        <w:t>Assignments with Date, Topic, Readings and Assignments</w:t>
      </w:r>
    </w:p>
    <w:p w14:paraId="4343459C" w14:textId="77777777" w:rsidR="003D6E55" w:rsidRPr="003D6E55" w:rsidRDefault="003D6E55" w:rsidP="003D6E55">
      <w:pPr>
        <w:pStyle w:val="ListParagraph"/>
        <w:rPr>
          <w:b/>
          <w:highlight w:val="yellow"/>
        </w:rPr>
      </w:pPr>
    </w:p>
    <w:p w14:paraId="06D23CAE" w14:textId="77777777" w:rsidR="003D6E55" w:rsidRPr="003D6E55" w:rsidRDefault="003D6E55" w:rsidP="003D6E55">
      <w:pPr>
        <w:pStyle w:val="ListParagraph"/>
        <w:numPr>
          <w:ilvl w:val="0"/>
          <w:numId w:val="8"/>
        </w:numPr>
        <w:rPr>
          <w:b/>
          <w:highlight w:val="yellow"/>
        </w:rPr>
      </w:pPr>
      <w:r w:rsidRPr="003D6E55">
        <w:rPr>
          <w:b/>
          <w:highlight w:val="yellow"/>
        </w:rPr>
        <w:t>Week 1</w:t>
      </w:r>
      <w:r w:rsidR="008B4037">
        <w:rPr>
          <w:b/>
          <w:highlight w:val="yellow"/>
        </w:rPr>
        <w:t>………..</w:t>
      </w:r>
    </w:p>
    <w:p w14:paraId="4A6E8BDE" w14:textId="77777777" w:rsidR="003D6E55" w:rsidRPr="003D6E55" w:rsidRDefault="003D6E55" w:rsidP="003D6E55">
      <w:pPr>
        <w:pStyle w:val="ListParagraph"/>
        <w:numPr>
          <w:ilvl w:val="0"/>
          <w:numId w:val="8"/>
        </w:numPr>
        <w:rPr>
          <w:b/>
          <w:highlight w:val="yellow"/>
        </w:rPr>
      </w:pPr>
      <w:r w:rsidRPr="003D6E55">
        <w:rPr>
          <w:b/>
          <w:highlight w:val="yellow"/>
        </w:rPr>
        <w:t>Week 2</w:t>
      </w:r>
      <w:r w:rsidR="008B4037">
        <w:rPr>
          <w:b/>
          <w:highlight w:val="yellow"/>
        </w:rPr>
        <w:t>……….</w:t>
      </w:r>
    </w:p>
    <w:p w14:paraId="0DF8A762" w14:textId="77777777" w:rsidR="003D6E55" w:rsidRDefault="003D6E55" w:rsidP="003D6E55">
      <w:pPr>
        <w:pStyle w:val="ListParagraph"/>
        <w:numPr>
          <w:ilvl w:val="0"/>
          <w:numId w:val="8"/>
        </w:numPr>
        <w:rPr>
          <w:b/>
          <w:highlight w:val="yellow"/>
        </w:rPr>
      </w:pPr>
      <w:r w:rsidRPr="003D6E55">
        <w:rPr>
          <w:b/>
          <w:highlight w:val="yellow"/>
        </w:rPr>
        <w:t>Week 3</w:t>
      </w:r>
      <w:r w:rsidR="008B4037">
        <w:rPr>
          <w:b/>
          <w:highlight w:val="yellow"/>
        </w:rPr>
        <w:t>……….</w:t>
      </w:r>
    </w:p>
    <w:p w14:paraId="173A0504" w14:textId="77777777" w:rsidR="008B4037" w:rsidRPr="003D6E55" w:rsidRDefault="008B4037" w:rsidP="003D6E55">
      <w:pPr>
        <w:pStyle w:val="ListParagraph"/>
        <w:numPr>
          <w:ilvl w:val="0"/>
          <w:numId w:val="8"/>
        </w:numPr>
        <w:rPr>
          <w:b/>
          <w:highlight w:val="yellow"/>
        </w:rPr>
      </w:pPr>
      <w:r>
        <w:rPr>
          <w:b/>
          <w:highlight w:val="yellow"/>
        </w:rPr>
        <w:t>Etc. …………………</w:t>
      </w:r>
    </w:p>
    <w:p w14:paraId="27DF1696" w14:textId="77777777" w:rsidR="00147D07" w:rsidRDefault="00147D07" w:rsidP="005A0A3D">
      <w:pPr>
        <w:rPr>
          <w:b/>
        </w:rPr>
      </w:pPr>
    </w:p>
    <w:p w14:paraId="347251CF" w14:textId="77777777" w:rsidR="00B07793" w:rsidRDefault="00CD08BC" w:rsidP="005A0A3D">
      <w:r w:rsidRPr="00CD08BC">
        <w:rPr>
          <w:b/>
        </w:rPr>
        <w:t xml:space="preserve">MCC </w:t>
      </w:r>
      <w:r w:rsidR="00EA394D">
        <w:rPr>
          <w:b/>
        </w:rPr>
        <w:t>Course Grading System</w:t>
      </w:r>
      <w:r w:rsidR="00B07793">
        <w:rPr>
          <w:b/>
        </w:rPr>
        <w:t>:</w:t>
      </w:r>
      <w:r w:rsidR="00B07793">
        <w:t xml:space="preserve"> </w:t>
      </w:r>
    </w:p>
    <w:p w14:paraId="20B93975" w14:textId="77777777" w:rsidR="0036523F" w:rsidRDefault="0036523F" w:rsidP="005A0A3D"/>
    <w:tbl>
      <w:tblPr>
        <w:tblStyle w:val="TableGrid"/>
        <w:tblW w:w="0" w:type="auto"/>
        <w:jc w:val="center"/>
        <w:tblLook w:val="04A0" w:firstRow="1" w:lastRow="0" w:firstColumn="1" w:lastColumn="0" w:noHBand="0" w:noVBand="1"/>
      </w:tblPr>
      <w:tblGrid>
        <w:gridCol w:w="712"/>
        <w:gridCol w:w="1190"/>
        <w:gridCol w:w="712"/>
        <w:gridCol w:w="1190"/>
      </w:tblGrid>
      <w:tr w:rsidR="00B07793" w:rsidRPr="007251E2" w14:paraId="40C32B3A" w14:textId="77777777" w:rsidTr="00B07793">
        <w:trPr>
          <w:jc w:val="center"/>
        </w:trPr>
        <w:tc>
          <w:tcPr>
            <w:tcW w:w="0" w:type="auto"/>
          </w:tcPr>
          <w:p w14:paraId="7CDE0D60" w14:textId="77777777" w:rsidR="00B07793" w:rsidRPr="007251E2" w:rsidRDefault="00B07793" w:rsidP="005A0A3D">
            <w:pPr>
              <w:rPr>
                <w:b/>
                <w:sz w:val="20"/>
                <w:szCs w:val="20"/>
              </w:rPr>
            </w:pPr>
            <w:r w:rsidRPr="007251E2">
              <w:rPr>
                <w:b/>
                <w:sz w:val="20"/>
                <w:szCs w:val="20"/>
              </w:rPr>
              <w:t>Letter</w:t>
            </w:r>
          </w:p>
        </w:tc>
        <w:tc>
          <w:tcPr>
            <w:tcW w:w="0" w:type="auto"/>
          </w:tcPr>
          <w:p w14:paraId="6DB40DD7" w14:textId="77777777" w:rsidR="00B07793" w:rsidRPr="007251E2" w:rsidRDefault="00B07793" w:rsidP="005A0A3D">
            <w:pPr>
              <w:rPr>
                <w:b/>
                <w:sz w:val="20"/>
                <w:szCs w:val="20"/>
              </w:rPr>
            </w:pPr>
            <w:r w:rsidRPr="007251E2">
              <w:rPr>
                <w:b/>
                <w:sz w:val="20"/>
                <w:szCs w:val="20"/>
              </w:rPr>
              <w:t>Numeric</w:t>
            </w:r>
          </w:p>
        </w:tc>
        <w:tc>
          <w:tcPr>
            <w:tcW w:w="0" w:type="auto"/>
          </w:tcPr>
          <w:p w14:paraId="2F83D596" w14:textId="77777777" w:rsidR="00B07793" w:rsidRPr="007251E2" w:rsidRDefault="00B07793" w:rsidP="005A0A3D">
            <w:pPr>
              <w:rPr>
                <w:b/>
                <w:sz w:val="20"/>
                <w:szCs w:val="20"/>
              </w:rPr>
            </w:pPr>
            <w:r w:rsidRPr="007251E2">
              <w:rPr>
                <w:b/>
                <w:sz w:val="20"/>
                <w:szCs w:val="20"/>
              </w:rPr>
              <w:t>Letter</w:t>
            </w:r>
          </w:p>
        </w:tc>
        <w:tc>
          <w:tcPr>
            <w:tcW w:w="0" w:type="auto"/>
          </w:tcPr>
          <w:p w14:paraId="6FA5A54B" w14:textId="77777777" w:rsidR="00B07793" w:rsidRPr="007251E2" w:rsidRDefault="00B07793" w:rsidP="005A0A3D">
            <w:pPr>
              <w:rPr>
                <w:b/>
                <w:sz w:val="20"/>
                <w:szCs w:val="20"/>
              </w:rPr>
            </w:pPr>
            <w:r w:rsidRPr="007251E2">
              <w:rPr>
                <w:b/>
                <w:sz w:val="20"/>
                <w:szCs w:val="20"/>
              </w:rPr>
              <w:t>Numeric</w:t>
            </w:r>
          </w:p>
        </w:tc>
      </w:tr>
      <w:tr w:rsidR="00B07793" w:rsidRPr="007251E2" w14:paraId="44272C7E" w14:textId="77777777" w:rsidTr="00B07793">
        <w:trPr>
          <w:jc w:val="center"/>
        </w:trPr>
        <w:tc>
          <w:tcPr>
            <w:tcW w:w="0" w:type="auto"/>
          </w:tcPr>
          <w:p w14:paraId="1A5E2903" w14:textId="77777777" w:rsidR="00B07793" w:rsidRPr="007251E2" w:rsidRDefault="00B07793" w:rsidP="005A0A3D">
            <w:pPr>
              <w:rPr>
                <w:sz w:val="20"/>
                <w:szCs w:val="20"/>
              </w:rPr>
            </w:pPr>
            <w:r w:rsidRPr="007251E2">
              <w:rPr>
                <w:sz w:val="20"/>
                <w:szCs w:val="20"/>
              </w:rPr>
              <w:t>A</w:t>
            </w:r>
          </w:p>
        </w:tc>
        <w:tc>
          <w:tcPr>
            <w:tcW w:w="0" w:type="auto"/>
          </w:tcPr>
          <w:p w14:paraId="295822DF" w14:textId="77777777" w:rsidR="00B07793" w:rsidRPr="007251E2" w:rsidRDefault="00B07793" w:rsidP="005A0A3D">
            <w:pPr>
              <w:rPr>
                <w:sz w:val="20"/>
                <w:szCs w:val="20"/>
              </w:rPr>
            </w:pPr>
            <w:r w:rsidRPr="007251E2">
              <w:rPr>
                <w:sz w:val="20"/>
                <w:szCs w:val="20"/>
              </w:rPr>
              <w:t>93.33-100</w:t>
            </w:r>
          </w:p>
        </w:tc>
        <w:tc>
          <w:tcPr>
            <w:tcW w:w="0" w:type="auto"/>
          </w:tcPr>
          <w:p w14:paraId="353E8321" w14:textId="77777777" w:rsidR="00B07793" w:rsidRPr="007251E2" w:rsidRDefault="00B07793" w:rsidP="005A0A3D">
            <w:pPr>
              <w:rPr>
                <w:sz w:val="20"/>
                <w:szCs w:val="20"/>
              </w:rPr>
            </w:pPr>
            <w:r w:rsidRPr="007251E2">
              <w:rPr>
                <w:sz w:val="20"/>
                <w:szCs w:val="20"/>
              </w:rPr>
              <w:t>C</w:t>
            </w:r>
          </w:p>
        </w:tc>
        <w:tc>
          <w:tcPr>
            <w:tcW w:w="0" w:type="auto"/>
          </w:tcPr>
          <w:p w14:paraId="3A3952B8" w14:textId="77777777" w:rsidR="00B07793" w:rsidRPr="007251E2" w:rsidRDefault="00B07793" w:rsidP="005A0A3D">
            <w:pPr>
              <w:rPr>
                <w:sz w:val="20"/>
                <w:szCs w:val="20"/>
              </w:rPr>
            </w:pPr>
            <w:r w:rsidRPr="007251E2">
              <w:rPr>
                <w:sz w:val="20"/>
                <w:szCs w:val="20"/>
              </w:rPr>
              <w:t>73.33-76.66</w:t>
            </w:r>
          </w:p>
        </w:tc>
      </w:tr>
      <w:tr w:rsidR="00B07793" w:rsidRPr="007251E2" w14:paraId="65708DBD" w14:textId="77777777" w:rsidTr="00B07793">
        <w:trPr>
          <w:jc w:val="center"/>
        </w:trPr>
        <w:tc>
          <w:tcPr>
            <w:tcW w:w="0" w:type="auto"/>
          </w:tcPr>
          <w:p w14:paraId="2DE2BAD6" w14:textId="77777777" w:rsidR="00B07793" w:rsidRPr="007251E2" w:rsidRDefault="00B07793" w:rsidP="005A0A3D">
            <w:pPr>
              <w:rPr>
                <w:sz w:val="20"/>
                <w:szCs w:val="20"/>
              </w:rPr>
            </w:pPr>
            <w:r w:rsidRPr="007251E2">
              <w:rPr>
                <w:sz w:val="20"/>
                <w:szCs w:val="20"/>
              </w:rPr>
              <w:t>A-</w:t>
            </w:r>
          </w:p>
        </w:tc>
        <w:tc>
          <w:tcPr>
            <w:tcW w:w="0" w:type="auto"/>
          </w:tcPr>
          <w:p w14:paraId="6E266E25" w14:textId="77777777" w:rsidR="00B07793" w:rsidRPr="007251E2" w:rsidRDefault="00B07793" w:rsidP="005A0A3D">
            <w:pPr>
              <w:rPr>
                <w:sz w:val="20"/>
                <w:szCs w:val="20"/>
              </w:rPr>
            </w:pPr>
            <w:r w:rsidRPr="007251E2">
              <w:rPr>
                <w:sz w:val="20"/>
                <w:szCs w:val="20"/>
              </w:rPr>
              <w:t>90.00-93.32</w:t>
            </w:r>
          </w:p>
        </w:tc>
        <w:tc>
          <w:tcPr>
            <w:tcW w:w="0" w:type="auto"/>
          </w:tcPr>
          <w:p w14:paraId="535C6971" w14:textId="77777777" w:rsidR="00B07793" w:rsidRPr="007251E2" w:rsidRDefault="00B07793" w:rsidP="005A0A3D">
            <w:pPr>
              <w:rPr>
                <w:sz w:val="20"/>
                <w:szCs w:val="20"/>
              </w:rPr>
            </w:pPr>
            <w:r w:rsidRPr="007251E2">
              <w:rPr>
                <w:sz w:val="20"/>
                <w:szCs w:val="20"/>
              </w:rPr>
              <w:t>C-</w:t>
            </w:r>
          </w:p>
        </w:tc>
        <w:tc>
          <w:tcPr>
            <w:tcW w:w="0" w:type="auto"/>
          </w:tcPr>
          <w:p w14:paraId="1B45F263" w14:textId="77777777" w:rsidR="00B07793" w:rsidRPr="007251E2" w:rsidRDefault="00B07793" w:rsidP="005A0A3D">
            <w:pPr>
              <w:rPr>
                <w:sz w:val="20"/>
                <w:szCs w:val="20"/>
              </w:rPr>
            </w:pPr>
            <w:r w:rsidRPr="007251E2">
              <w:rPr>
                <w:sz w:val="20"/>
                <w:szCs w:val="20"/>
              </w:rPr>
              <w:t>70.00-73.32</w:t>
            </w:r>
          </w:p>
        </w:tc>
      </w:tr>
      <w:tr w:rsidR="00B07793" w:rsidRPr="007251E2" w14:paraId="47418CC7" w14:textId="77777777" w:rsidTr="00B07793">
        <w:trPr>
          <w:jc w:val="center"/>
        </w:trPr>
        <w:tc>
          <w:tcPr>
            <w:tcW w:w="0" w:type="auto"/>
          </w:tcPr>
          <w:p w14:paraId="29FA7A55" w14:textId="77777777" w:rsidR="00B07793" w:rsidRPr="007251E2" w:rsidRDefault="00B07793" w:rsidP="005A0A3D">
            <w:pPr>
              <w:rPr>
                <w:sz w:val="20"/>
                <w:szCs w:val="20"/>
              </w:rPr>
            </w:pPr>
            <w:r w:rsidRPr="007251E2">
              <w:rPr>
                <w:sz w:val="20"/>
                <w:szCs w:val="20"/>
              </w:rPr>
              <w:t>B+</w:t>
            </w:r>
          </w:p>
        </w:tc>
        <w:tc>
          <w:tcPr>
            <w:tcW w:w="0" w:type="auto"/>
          </w:tcPr>
          <w:p w14:paraId="0933CD39" w14:textId="77777777" w:rsidR="00B07793" w:rsidRPr="007251E2" w:rsidRDefault="00B07793" w:rsidP="005A0A3D">
            <w:pPr>
              <w:rPr>
                <w:sz w:val="20"/>
                <w:szCs w:val="20"/>
              </w:rPr>
            </w:pPr>
            <w:r w:rsidRPr="007251E2">
              <w:rPr>
                <w:sz w:val="20"/>
                <w:szCs w:val="20"/>
              </w:rPr>
              <w:t>86.67-89.99</w:t>
            </w:r>
          </w:p>
        </w:tc>
        <w:tc>
          <w:tcPr>
            <w:tcW w:w="0" w:type="auto"/>
          </w:tcPr>
          <w:p w14:paraId="2354BBFB" w14:textId="77777777" w:rsidR="00B07793" w:rsidRPr="007251E2" w:rsidRDefault="00B07793" w:rsidP="005A0A3D">
            <w:pPr>
              <w:rPr>
                <w:sz w:val="20"/>
                <w:szCs w:val="20"/>
              </w:rPr>
            </w:pPr>
            <w:r w:rsidRPr="007251E2">
              <w:rPr>
                <w:sz w:val="20"/>
                <w:szCs w:val="20"/>
              </w:rPr>
              <w:t>D+</w:t>
            </w:r>
          </w:p>
        </w:tc>
        <w:tc>
          <w:tcPr>
            <w:tcW w:w="0" w:type="auto"/>
          </w:tcPr>
          <w:p w14:paraId="04BC4F79" w14:textId="77777777" w:rsidR="00B07793" w:rsidRPr="007251E2" w:rsidRDefault="00B07793" w:rsidP="005A0A3D">
            <w:pPr>
              <w:rPr>
                <w:sz w:val="20"/>
                <w:szCs w:val="20"/>
              </w:rPr>
            </w:pPr>
            <w:r w:rsidRPr="007251E2">
              <w:rPr>
                <w:sz w:val="20"/>
                <w:szCs w:val="20"/>
              </w:rPr>
              <w:t>66.67-69.99</w:t>
            </w:r>
          </w:p>
        </w:tc>
      </w:tr>
      <w:tr w:rsidR="00B07793" w:rsidRPr="007251E2" w14:paraId="46D5F057" w14:textId="77777777" w:rsidTr="00B07793">
        <w:trPr>
          <w:jc w:val="center"/>
        </w:trPr>
        <w:tc>
          <w:tcPr>
            <w:tcW w:w="0" w:type="auto"/>
          </w:tcPr>
          <w:p w14:paraId="38C2947F" w14:textId="77777777" w:rsidR="00B07793" w:rsidRPr="007251E2" w:rsidRDefault="00B07793" w:rsidP="005A0A3D">
            <w:pPr>
              <w:rPr>
                <w:sz w:val="20"/>
                <w:szCs w:val="20"/>
              </w:rPr>
            </w:pPr>
            <w:r w:rsidRPr="007251E2">
              <w:rPr>
                <w:sz w:val="20"/>
                <w:szCs w:val="20"/>
              </w:rPr>
              <w:t>B</w:t>
            </w:r>
          </w:p>
        </w:tc>
        <w:tc>
          <w:tcPr>
            <w:tcW w:w="0" w:type="auto"/>
          </w:tcPr>
          <w:p w14:paraId="1BC79CB0" w14:textId="77777777" w:rsidR="00B07793" w:rsidRPr="007251E2" w:rsidRDefault="00B07793" w:rsidP="005A0A3D">
            <w:pPr>
              <w:rPr>
                <w:sz w:val="20"/>
                <w:szCs w:val="20"/>
              </w:rPr>
            </w:pPr>
            <w:r w:rsidRPr="007251E2">
              <w:rPr>
                <w:sz w:val="20"/>
                <w:szCs w:val="20"/>
              </w:rPr>
              <w:t>83.33-86.66</w:t>
            </w:r>
          </w:p>
        </w:tc>
        <w:tc>
          <w:tcPr>
            <w:tcW w:w="0" w:type="auto"/>
          </w:tcPr>
          <w:p w14:paraId="53D2C987" w14:textId="77777777" w:rsidR="00B07793" w:rsidRPr="007251E2" w:rsidRDefault="00B07793" w:rsidP="005A0A3D">
            <w:pPr>
              <w:rPr>
                <w:sz w:val="20"/>
                <w:szCs w:val="20"/>
              </w:rPr>
            </w:pPr>
            <w:r w:rsidRPr="007251E2">
              <w:rPr>
                <w:sz w:val="20"/>
                <w:szCs w:val="20"/>
              </w:rPr>
              <w:t>D</w:t>
            </w:r>
          </w:p>
        </w:tc>
        <w:tc>
          <w:tcPr>
            <w:tcW w:w="0" w:type="auto"/>
          </w:tcPr>
          <w:p w14:paraId="588A25B8" w14:textId="77777777" w:rsidR="00B07793" w:rsidRPr="007251E2" w:rsidRDefault="00B07793" w:rsidP="005A0A3D">
            <w:pPr>
              <w:rPr>
                <w:sz w:val="20"/>
                <w:szCs w:val="20"/>
              </w:rPr>
            </w:pPr>
            <w:r w:rsidRPr="007251E2">
              <w:rPr>
                <w:sz w:val="20"/>
                <w:szCs w:val="20"/>
              </w:rPr>
              <w:t>63.33-66.66</w:t>
            </w:r>
          </w:p>
        </w:tc>
      </w:tr>
      <w:tr w:rsidR="00B07793" w:rsidRPr="007251E2" w14:paraId="0792A7AB" w14:textId="77777777" w:rsidTr="00B07793">
        <w:trPr>
          <w:jc w:val="center"/>
        </w:trPr>
        <w:tc>
          <w:tcPr>
            <w:tcW w:w="0" w:type="auto"/>
          </w:tcPr>
          <w:p w14:paraId="1872140C" w14:textId="77777777" w:rsidR="00B07793" w:rsidRPr="007251E2" w:rsidRDefault="00B07793" w:rsidP="005A0A3D">
            <w:pPr>
              <w:rPr>
                <w:sz w:val="20"/>
                <w:szCs w:val="20"/>
              </w:rPr>
            </w:pPr>
            <w:r w:rsidRPr="007251E2">
              <w:rPr>
                <w:sz w:val="20"/>
                <w:szCs w:val="20"/>
              </w:rPr>
              <w:t>B-</w:t>
            </w:r>
          </w:p>
        </w:tc>
        <w:tc>
          <w:tcPr>
            <w:tcW w:w="0" w:type="auto"/>
          </w:tcPr>
          <w:p w14:paraId="6B77CD0D" w14:textId="77777777" w:rsidR="00B07793" w:rsidRPr="007251E2" w:rsidRDefault="00B07793" w:rsidP="005A0A3D">
            <w:pPr>
              <w:rPr>
                <w:sz w:val="20"/>
                <w:szCs w:val="20"/>
              </w:rPr>
            </w:pPr>
            <w:r w:rsidRPr="007251E2">
              <w:rPr>
                <w:sz w:val="20"/>
                <w:szCs w:val="20"/>
              </w:rPr>
              <w:t>80.00-83.32</w:t>
            </w:r>
          </w:p>
        </w:tc>
        <w:tc>
          <w:tcPr>
            <w:tcW w:w="0" w:type="auto"/>
          </w:tcPr>
          <w:p w14:paraId="6E024A81" w14:textId="77777777" w:rsidR="00B07793" w:rsidRPr="007251E2" w:rsidRDefault="00B07793" w:rsidP="005A0A3D">
            <w:pPr>
              <w:rPr>
                <w:sz w:val="20"/>
                <w:szCs w:val="20"/>
              </w:rPr>
            </w:pPr>
            <w:r w:rsidRPr="007251E2">
              <w:rPr>
                <w:sz w:val="20"/>
                <w:szCs w:val="20"/>
              </w:rPr>
              <w:t>D-</w:t>
            </w:r>
          </w:p>
        </w:tc>
        <w:tc>
          <w:tcPr>
            <w:tcW w:w="0" w:type="auto"/>
          </w:tcPr>
          <w:p w14:paraId="68F12E86" w14:textId="77777777" w:rsidR="00B07793" w:rsidRPr="007251E2" w:rsidRDefault="00B07793" w:rsidP="005A0A3D">
            <w:pPr>
              <w:rPr>
                <w:sz w:val="20"/>
                <w:szCs w:val="20"/>
              </w:rPr>
            </w:pPr>
            <w:r w:rsidRPr="007251E2">
              <w:rPr>
                <w:sz w:val="20"/>
                <w:szCs w:val="20"/>
              </w:rPr>
              <w:t>60.00-63.32</w:t>
            </w:r>
          </w:p>
        </w:tc>
      </w:tr>
      <w:tr w:rsidR="00B07793" w:rsidRPr="007251E2" w14:paraId="0922AA06" w14:textId="77777777" w:rsidTr="00B07793">
        <w:trPr>
          <w:jc w:val="center"/>
        </w:trPr>
        <w:tc>
          <w:tcPr>
            <w:tcW w:w="0" w:type="auto"/>
          </w:tcPr>
          <w:p w14:paraId="20370E8F" w14:textId="77777777" w:rsidR="00B07793" w:rsidRPr="007251E2" w:rsidRDefault="00B07793" w:rsidP="005A0A3D">
            <w:pPr>
              <w:rPr>
                <w:sz w:val="20"/>
                <w:szCs w:val="20"/>
              </w:rPr>
            </w:pPr>
            <w:r w:rsidRPr="007251E2">
              <w:rPr>
                <w:sz w:val="20"/>
                <w:szCs w:val="20"/>
              </w:rPr>
              <w:t>C+</w:t>
            </w:r>
          </w:p>
        </w:tc>
        <w:tc>
          <w:tcPr>
            <w:tcW w:w="0" w:type="auto"/>
          </w:tcPr>
          <w:p w14:paraId="7B3649B4" w14:textId="77777777" w:rsidR="00B07793" w:rsidRPr="007251E2" w:rsidRDefault="00B07793" w:rsidP="005A0A3D">
            <w:pPr>
              <w:rPr>
                <w:sz w:val="20"/>
                <w:szCs w:val="20"/>
              </w:rPr>
            </w:pPr>
            <w:r w:rsidRPr="007251E2">
              <w:rPr>
                <w:sz w:val="20"/>
                <w:szCs w:val="20"/>
              </w:rPr>
              <w:t>76.67-79.99</w:t>
            </w:r>
          </w:p>
        </w:tc>
        <w:tc>
          <w:tcPr>
            <w:tcW w:w="0" w:type="auto"/>
          </w:tcPr>
          <w:p w14:paraId="6CB682B6" w14:textId="77777777" w:rsidR="00B07793" w:rsidRPr="007251E2" w:rsidRDefault="00B07793" w:rsidP="005A0A3D">
            <w:pPr>
              <w:rPr>
                <w:sz w:val="20"/>
                <w:szCs w:val="20"/>
              </w:rPr>
            </w:pPr>
            <w:r w:rsidRPr="007251E2">
              <w:rPr>
                <w:sz w:val="20"/>
                <w:szCs w:val="20"/>
              </w:rPr>
              <w:t>F</w:t>
            </w:r>
          </w:p>
        </w:tc>
        <w:tc>
          <w:tcPr>
            <w:tcW w:w="0" w:type="auto"/>
          </w:tcPr>
          <w:p w14:paraId="30C177EE" w14:textId="77777777" w:rsidR="00B07793" w:rsidRPr="007251E2" w:rsidRDefault="00B07793" w:rsidP="005A0A3D">
            <w:pPr>
              <w:rPr>
                <w:sz w:val="20"/>
                <w:szCs w:val="20"/>
              </w:rPr>
            </w:pPr>
            <w:r w:rsidRPr="007251E2">
              <w:rPr>
                <w:sz w:val="20"/>
                <w:szCs w:val="20"/>
              </w:rPr>
              <w:t>Below 60</w:t>
            </w:r>
          </w:p>
        </w:tc>
      </w:tr>
    </w:tbl>
    <w:p w14:paraId="11E16360" w14:textId="77777777" w:rsidR="00B07793" w:rsidRDefault="00B07793" w:rsidP="005A0A3D"/>
    <w:p w14:paraId="0EAE2063" w14:textId="77777777" w:rsidR="00EB7497" w:rsidRPr="00147D07" w:rsidRDefault="00EB7497" w:rsidP="00EB7497">
      <w:pPr>
        <w:pStyle w:val="Default"/>
        <w:rPr>
          <w:rFonts w:asciiTheme="minorHAnsi" w:hAnsiTheme="minorHAnsi" w:cstheme="minorHAnsi"/>
          <w:color w:val="auto"/>
          <w:sz w:val="22"/>
          <w:szCs w:val="22"/>
        </w:rPr>
      </w:pPr>
      <w:r w:rsidRPr="00EB7497">
        <w:rPr>
          <w:rFonts w:asciiTheme="minorHAnsi" w:hAnsiTheme="minorHAnsi" w:cs="Times New Roman"/>
          <w:b/>
          <w:sz w:val="22"/>
          <w:szCs w:val="22"/>
        </w:rPr>
        <w:t>Incompletes:</w:t>
      </w:r>
      <w:r w:rsidRPr="00EB7497">
        <w:rPr>
          <w:rFonts w:asciiTheme="minorHAnsi" w:hAnsiTheme="minorHAnsi"/>
          <w:b/>
          <w:sz w:val="22"/>
          <w:szCs w:val="22"/>
        </w:rPr>
        <w:t xml:space="preserve"> </w:t>
      </w:r>
      <w:r w:rsidR="00147D07">
        <w:rPr>
          <w:rFonts w:asciiTheme="minorHAnsi" w:hAnsiTheme="minorHAnsi"/>
          <w:b/>
          <w:sz w:val="22"/>
          <w:szCs w:val="22"/>
        </w:rPr>
        <w:t xml:space="preserve">  </w:t>
      </w:r>
      <w:r w:rsidRPr="00147D07">
        <w:rPr>
          <w:rFonts w:asciiTheme="minorHAnsi" w:hAnsiTheme="minorHAnsi" w:cs="Times New Roman"/>
          <w:sz w:val="20"/>
          <w:szCs w:val="20"/>
        </w:rPr>
        <w:t>An Incomplete Grade (I) indicates that a student has not completed a major course assignment (usually a final exam or culminating final assessment) due to extraordinary circumstances, such as serious illness, death in the family, etc. The grade is applied only in those instances where the student has a reasonable chance of completing the outstanding work and pa</w:t>
      </w:r>
      <w:r w:rsidR="00A4589B" w:rsidRPr="00147D07">
        <w:rPr>
          <w:rFonts w:asciiTheme="minorHAnsi" w:hAnsiTheme="minorHAnsi" w:cs="Times New Roman"/>
          <w:sz w:val="20"/>
          <w:szCs w:val="20"/>
        </w:rPr>
        <w:t>ssing the course. It is not intended</w:t>
      </w:r>
      <w:r w:rsidRPr="00147D07">
        <w:rPr>
          <w:rFonts w:asciiTheme="minorHAnsi" w:hAnsiTheme="minorHAnsi" w:cs="Times New Roman"/>
          <w:sz w:val="20"/>
          <w:szCs w:val="20"/>
        </w:rPr>
        <w:t xml:space="preserve"> to give an extension of time for a student delinquent in meeting major course responsibilities. </w:t>
      </w:r>
      <w:r w:rsidR="00147D07" w:rsidRPr="00147D07">
        <w:rPr>
          <w:rFonts w:asciiTheme="minorHAnsi" w:hAnsiTheme="minorHAnsi" w:cs="Times New Roman"/>
          <w:sz w:val="20"/>
          <w:szCs w:val="20"/>
        </w:rPr>
        <w:t xml:space="preserve">The </w:t>
      </w:r>
      <w:r w:rsidR="00147D07">
        <w:rPr>
          <w:rFonts w:asciiTheme="minorHAnsi" w:hAnsiTheme="minorHAnsi" w:cs="Times New Roman"/>
          <w:sz w:val="20"/>
          <w:szCs w:val="20"/>
        </w:rPr>
        <w:t>“</w:t>
      </w:r>
      <w:r w:rsidR="00147D07" w:rsidRPr="00147D07">
        <w:rPr>
          <w:rFonts w:asciiTheme="minorHAnsi" w:hAnsiTheme="minorHAnsi" w:cs="Times New Roman"/>
          <w:sz w:val="20"/>
          <w:szCs w:val="20"/>
        </w:rPr>
        <w:t>I</w:t>
      </w:r>
      <w:r w:rsidR="00147D07">
        <w:rPr>
          <w:rFonts w:asciiTheme="minorHAnsi" w:hAnsiTheme="minorHAnsi" w:cs="Times New Roman"/>
          <w:sz w:val="20"/>
          <w:szCs w:val="20"/>
        </w:rPr>
        <w:t>”</w:t>
      </w:r>
      <w:r w:rsidR="00147D07" w:rsidRPr="00147D07">
        <w:rPr>
          <w:rFonts w:asciiTheme="minorHAnsi" w:hAnsiTheme="minorHAnsi" w:cs="Times New Roman"/>
          <w:sz w:val="20"/>
          <w:szCs w:val="20"/>
        </w:rPr>
        <w:t xml:space="preserve"> grade is not calculated into the GPA. However, all work must be completed by the end of the third week of the subsequent semester or the grade defaults to an F.  </w:t>
      </w:r>
      <w:r w:rsidR="00940625" w:rsidRPr="00147D07">
        <w:rPr>
          <w:rFonts w:asciiTheme="minorHAnsi" w:hAnsiTheme="minorHAnsi" w:cstheme="minorHAnsi"/>
          <w:color w:val="auto"/>
          <w:sz w:val="20"/>
          <w:szCs w:val="20"/>
        </w:rPr>
        <w:t>An incomplete contract must be submitted to the College Registrar if an incomplete grade is issued</w:t>
      </w:r>
      <w:r w:rsidR="00940625" w:rsidRPr="00147D07">
        <w:rPr>
          <w:rFonts w:asciiTheme="minorHAnsi" w:hAnsiTheme="minorHAnsi" w:cstheme="minorHAnsi"/>
          <w:color w:val="auto"/>
          <w:sz w:val="22"/>
          <w:szCs w:val="22"/>
        </w:rPr>
        <w:t>.</w:t>
      </w:r>
    </w:p>
    <w:p w14:paraId="491D2685" w14:textId="77777777" w:rsidR="00CD08BC" w:rsidRPr="00CD08BC" w:rsidRDefault="00CD08BC" w:rsidP="00CD08BC">
      <w:pPr>
        <w:pStyle w:val="ListParagraph"/>
        <w:spacing w:line="240" w:lineRule="auto"/>
        <w:ind w:left="840"/>
        <w:contextualSpacing w:val="0"/>
      </w:pPr>
    </w:p>
    <w:p w14:paraId="7E5B8AC3" w14:textId="77777777" w:rsidR="00CD08BC" w:rsidRDefault="00CD08BC" w:rsidP="00CD08BC">
      <w:pPr>
        <w:spacing w:line="240" w:lineRule="auto"/>
      </w:pPr>
      <w:r w:rsidRPr="00CD08BC">
        <w:rPr>
          <w:b/>
          <w:bCs/>
        </w:rPr>
        <w:t>Dropping a Course</w:t>
      </w:r>
      <w:r>
        <w:t xml:space="preserve">: </w:t>
      </w:r>
      <w:r w:rsidR="00836B28">
        <w:t xml:space="preserve"> </w:t>
      </w:r>
      <w:r>
        <w:t xml:space="preserve">Simply ceasing to attend classes or notifying the instructor does not constitute officially dropping a course. If you plan to drop the course, you must complete an official Drop form which is available from the college website: </w:t>
      </w:r>
      <w:hyperlink r:id="rId8" w:history="1">
        <w:r>
          <w:rPr>
            <w:rStyle w:val="Hyperlink"/>
          </w:rPr>
          <w:t>www.mccnh.edu</w:t>
        </w:r>
      </w:hyperlink>
      <w:r>
        <w:t>  by clicking on Academics and then Forms to Download.  You and your Running Start teacher will need to sign the Drop form</w:t>
      </w:r>
      <w:r w:rsidR="00836B28">
        <w:t>.  Your teacher will also assign a W, WP or WF as described below.  Completed Drop Forms should be forwarded to the</w:t>
      </w:r>
      <w:r>
        <w:t xml:space="preserve"> Running Start Coordinator before the end of the course</w:t>
      </w:r>
      <w:r w:rsidR="00836B28">
        <w:t xml:space="preserve"> and in accordance with the following deadlines: </w:t>
      </w:r>
    </w:p>
    <w:p w14:paraId="18E761DD" w14:textId="77777777" w:rsidR="00EB7497" w:rsidRDefault="00EB7497" w:rsidP="005A0A3D"/>
    <w:p w14:paraId="7FA21B0C" w14:textId="77777777" w:rsidR="00CD08BC" w:rsidRPr="0079093F" w:rsidRDefault="00CD08BC" w:rsidP="00CD08BC">
      <w:pPr>
        <w:rPr>
          <w:rFonts w:cstheme="minorHAnsi"/>
          <w:sz w:val="20"/>
          <w:szCs w:val="20"/>
        </w:rPr>
      </w:pPr>
      <w:r w:rsidRPr="0079093F">
        <w:rPr>
          <w:rFonts w:cstheme="minorHAnsi"/>
          <w:b/>
          <w:bCs/>
          <w:sz w:val="20"/>
          <w:szCs w:val="20"/>
        </w:rPr>
        <w:t>W:</w:t>
      </w:r>
      <w:r w:rsidRPr="0079093F">
        <w:rPr>
          <w:rFonts w:cstheme="minorHAnsi"/>
          <w:sz w:val="20"/>
          <w:szCs w:val="20"/>
        </w:rPr>
        <w:t xml:space="preserve">  Student initiated withdrawal from a course at any time </w:t>
      </w:r>
      <w:r w:rsidRPr="0079093F">
        <w:rPr>
          <w:rFonts w:cstheme="minorHAnsi"/>
          <w:sz w:val="20"/>
          <w:szCs w:val="20"/>
          <w:u w:val="single"/>
        </w:rPr>
        <w:t>prior</w:t>
      </w:r>
      <w:r w:rsidRPr="0079093F">
        <w:rPr>
          <w:rFonts w:cstheme="minorHAnsi"/>
          <w:sz w:val="20"/>
          <w:szCs w:val="20"/>
        </w:rPr>
        <w:t xml:space="preserve"> to completion of the drop deadline (60% of the course). Does not affect GPA. </w:t>
      </w:r>
    </w:p>
    <w:p w14:paraId="08F48B4E" w14:textId="77777777" w:rsidR="00CD08BC" w:rsidRPr="0079093F" w:rsidRDefault="00CD08BC" w:rsidP="00CD08BC">
      <w:pPr>
        <w:rPr>
          <w:rFonts w:cstheme="minorHAnsi"/>
          <w:sz w:val="20"/>
          <w:szCs w:val="20"/>
        </w:rPr>
      </w:pPr>
    </w:p>
    <w:p w14:paraId="2890F133" w14:textId="77777777" w:rsidR="00353A1B" w:rsidRPr="0079093F" w:rsidRDefault="00CD08BC" w:rsidP="00CD08BC">
      <w:pPr>
        <w:rPr>
          <w:rFonts w:cstheme="minorHAnsi"/>
          <w:sz w:val="20"/>
          <w:szCs w:val="20"/>
        </w:rPr>
      </w:pPr>
      <w:r w:rsidRPr="0079093F">
        <w:rPr>
          <w:rFonts w:cstheme="minorHAnsi"/>
          <w:b/>
          <w:sz w:val="20"/>
          <w:szCs w:val="20"/>
        </w:rPr>
        <w:t>WP</w:t>
      </w:r>
      <w:r w:rsidRPr="0079093F">
        <w:rPr>
          <w:rFonts w:cstheme="minorHAnsi"/>
          <w:sz w:val="20"/>
          <w:szCs w:val="20"/>
        </w:rPr>
        <w:t xml:space="preserve">: Student initiated withdrawal from a course </w:t>
      </w:r>
      <w:r w:rsidRPr="0079093F">
        <w:rPr>
          <w:rFonts w:cstheme="minorHAnsi"/>
          <w:sz w:val="20"/>
          <w:szCs w:val="20"/>
          <w:u w:val="single"/>
        </w:rPr>
        <w:t xml:space="preserve">after </w:t>
      </w:r>
      <w:r w:rsidRPr="0079093F">
        <w:rPr>
          <w:rFonts w:cstheme="minorHAnsi"/>
          <w:sz w:val="20"/>
          <w:szCs w:val="20"/>
        </w:rPr>
        <w:t xml:space="preserve">the drop deadline (60% of the course) when the student has a passing grade at time of drop, as determined by the instructor. Does not affect GPA.  </w:t>
      </w:r>
    </w:p>
    <w:p w14:paraId="5B81FE67" w14:textId="77777777" w:rsidR="00CD08BC" w:rsidRPr="0079093F" w:rsidRDefault="00CD08BC" w:rsidP="00CD08BC">
      <w:pPr>
        <w:rPr>
          <w:rFonts w:cstheme="minorHAnsi"/>
          <w:sz w:val="20"/>
          <w:szCs w:val="20"/>
        </w:rPr>
      </w:pPr>
      <w:r w:rsidRPr="0079093F">
        <w:rPr>
          <w:rFonts w:cstheme="minorHAnsi"/>
          <w:sz w:val="20"/>
          <w:szCs w:val="20"/>
        </w:rPr>
        <w:t>WP can be assigned up to 10 days prior to the beginning of the final exam period.</w:t>
      </w:r>
    </w:p>
    <w:p w14:paraId="25099D32" w14:textId="77777777" w:rsidR="00CD08BC" w:rsidRPr="0079093F" w:rsidRDefault="00CD08BC" w:rsidP="00CD08BC">
      <w:pPr>
        <w:rPr>
          <w:rFonts w:cstheme="minorHAnsi"/>
          <w:sz w:val="20"/>
          <w:szCs w:val="20"/>
        </w:rPr>
      </w:pPr>
    </w:p>
    <w:p w14:paraId="7CE05097" w14:textId="77777777" w:rsidR="00CD08BC" w:rsidRPr="0079093F" w:rsidRDefault="00CD08BC" w:rsidP="00CD08BC">
      <w:pPr>
        <w:rPr>
          <w:rFonts w:cstheme="minorHAnsi"/>
          <w:sz w:val="20"/>
          <w:szCs w:val="20"/>
        </w:rPr>
      </w:pPr>
      <w:r w:rsidRPr="0079093F">
        <w:rPr>
          <w:rFonts w:cstheme="minorHAnsi"/>
          <w:b/>
          <w:bCs/>
          <w:sz w:val="20"/>
          <w:szCs w:val="20"/>
        </w:rPr>
        <w:t>WF</w:t>
      </w:r>
      <w:r w:rsidRPr="0079093F">
        <w:rPr>
          <w:rFonts w:cstheme="minorHAnsi"/>
          <w:sz w:val="20"/>
          <w:szCs w:val="20"/>
        </w:rPr>
        <w:t xml:space="preserve">:  Student initiated withdrawal from a course </w:t>
      </w:r>
      <w:r w:rsidRPr="0079093F">
        <w:rPr>
          <w:rFonts w:cstheme="minorHAnsi"/>
          <w:sz w:val="20"/>
          <w:szCs w:val="20"/>
          <w:u w:val="single"/>
        </w:rPr>
        <w:t>after</w:t>
      </w:r>
      <w:r w:rsidRPr="0079093F">
        <w:rPr>
          <w:rFonts w:cstheme="minorHAnsi"/>
          <w:sz w:val="20"/>
          <w:szCs w:val="20"/>
        </w:rPr>
        <w:t xml:space="preserve"> the drop deadline (60% of the course) when the student has a failing grade at time of drop, as determined by the instructor. Calculates in GPA as an “F.”   WF can be assigned up to 10 days prior to the beginning of the final exam period.</w:t>
      </w:r>
    </w:p>
    <w:p w14:paraId="4480B15C" w14:textId="77777777" w:rsidR="00CD08BC" w:rsidRPr="0079093F" w:rsidRDefault="00CD08BC" w:rsidP="00CD08BC">
      <w:pPr>
        <w:rPr>
          <w:rFonts w:cstheme="minorHAnsi"/>
          <w:sz w:val="20"/>
          <w:szCs w:val="20"/>
        </w:rPr>
      </w:pPr>
    </w:p>
    <w:p w14:paraId="1820DDAE" w14:textId="77777777" w:rsidR="00CD08BC" w:rsidRPr="0079093F" w:rsidRDefault="00CD08BC" w:rsidP="00CD08BC">
      <w:pPr>
        <w:rPr>
          <w:rFonts w:cstheme="minorHAnsi"/>
          <w:sz w:val="20"/>
          <w:szCs w:val="20"/>
        </w:rPr>
      </w:pPr>
      <w:r w:rsidRPr="0079093F">
        <w:rPr>
          <w:rFonts w:cstheme="minorHAnsi"/>
          <w:b/>
          <w:bCs/>
          <w:sz w:val="20"/>
          <w:szCs w:val="20"/>
        </w:rPr>
        <w:lastRenderedPageBreak/>
        <w:t>AF:</w:t>
      </w:r>
      <w:r w:rsidRPr="0079093F">
        <w:rPr>
          <w:rFonts w:cstheme="minorHAnsi"/>
          <w:sz w:val="20"/>
          <w:szCs w:val="20"/>
        </w:rPr>
        <w:t>  Instructor or administrator initiated withdrawal at any time for reasons other than poor grade performance—e.g. failure to meet attendance requirements, as published in the instructor’s syllabus, violation of the Student Code of Conduct, disruptive behavior, etc. The grade may also be issued if a student registered in a clinic, practicum, internship or lab is deemed unsafe or performing in an unsatisfactory manner as determined by an evaluation by a faculty member/agency supervisor in accordance with department criteria and procedure. Calculated in GPA as an “F.”</w:t>
      </w:r>
    </w:p>
    <w:p w14:paraId="3FE52C16" w14:textId="77777777" w:rsidR="00147140" w:rsidRDefault="00147140" w:rsidP="005A0A3D"/>
    <w:p w14:paraId="55D91398" w14:textId="77777777" w:rsidR="009C3A18" w:rsidRDefault="00BD7914" w:rsidP="009C3A18">
      <w:r>
        <w:rPr>
          <w:noProof/>
        </w:rPr>
        <mc:AlternateContent>
          <mc:Choice Requires="wps">
            <w:drawing>
              <wp:anchor distT="0" distB="0" distL="114300" distR="114300" simplePos="0" relativeHeight="251659264" behindDoc="0" locked="0" layoutInCell="1" allowOverlap="1" wp14:anchorId="7FFBE929" wp14:editId="7E2CCE4A">
                <wp:simplePos x="0" y="0"/>
                <wp:positionH relativeFrom="column">
                  <wp:posOffset>38100</wp:posOffset>
                </wp:positionH>
                <wp:positionV relativeFrom="paragraph">
                  <wp:posOffset>60960</wp:posOffset>
                </wp:positionV>
                <wp:extent cx="5791200" cy="942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91200" cy="942975"/>
                        </a:xfrm>
                        <a:prstGeom prst="rect">
                          <a:avLst/>
                        </a:prstGeom>
                        <a:ln/>
                      </wps:spPr>
                      <wps:style>
                        <a:lnRef idx="2">
                          <a:schemeClr val="dk1"/>
                        </a:lnRef>
                        <a:fillRef idx="1">
                          <a:schemeClr val="lt1"/>
                        </a:fillRef>
                        <a:effectRef idx="0">
                          <a:schemeClr val="dk1"/>
                        </a:effectRef>
                        <a:fontRef idx="minor">
                          <a:schemeClr val="dk1"/>
                        </a:fontRef>
                      </wps:style>
                      <wps:txbx>
                        <w:txbxContent>
                          <w:p w14:paraId="4B2090E8" w14:textId="77777777" w:rsidR="00CD08BC" w:rsidRDefault="00CD08BC" w:rsidP="00BD7914">
                            <w:r>
                              <w:rPr>
                                <w:b/>
                              </w:rPr>
                              <w:t xml:space="preserve">Tuition Refund Policy for Running Start students: </w:t>
                            </w:r>
                          </w:p>
                          <w:p w14:paraId="3B63FEFB" w14:textId="77777777" w:rsidR="00CD08BC" w:rsidRDefault="00CD08BC" w:rsidP="006050EE">
                            <w:pPr>
                              <w:pStyle w:val="ListParagraph"/>
                              <w:numPr>
                                <w:ilvl w:val="0"/>
                                <w:numId w:val="3"/>
                              </w:numPr>
                              <w:spacing w:line="240" w:lineRule="auto"/>
                              <w:contextualSpacing w:val="0"/>
                            </w:pPr>
                            <w:r>
                              <w:t>Refunds of the $150 Running Start tuition fee cannot be issued by the college.  This is a Running Start Program / CCSNH (Community College System of NH) policy.</w:t>
                            </w:r>
                          </w:p>
                          <w:p w14:paraId="0639AFD7" w14:textId="77777777" w:rsidR="00CD08BC" w:rsidRDefault="00CD08BC" w:rsidP="006050EE">
                            <w:pPr>
                              <w:pStyle w:val="ListParagraph"/>
                            </w:pP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FBE929" id="_x0000_t202" coordsize="21600,21600" o:spt="202" path="m,l,21600r21600,l21600,xe">
                <v:stroke joinstyle="miter"/>
                <v:path gradientshapeok="t" o:connecttype="rect"/>
              </v:shapetype>
              <v:shape id="Text Box 5" o:spid="_x0000_s1026" type="#_x0000_t202" style="position:absolute;margin-left:3pt;margin-top:4.8pt;width:456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XWawIAACMFAAAOAAAAZHJzL2Uyb0RvYy54bWysVEtPGzEQvlfqf7B8L5tESWkiNigFUVVC&#10;gAoVZ8drk1Vtj2tPspv++o69DxBFPVS97Noz37y/8dl5aw07qBBrcCWfnkw4U05CVbunkn9/uPrw&#10;ibOIwlXCgFMlP6rIz9fv3501fqVmsANTqcDIiYurxpd8h+hXRRHlTlkRT8ArR0oNwQqka3gqqiAa&#10;8m5NMZtMPhYNhMoHkCpGkl52Sr7O/rVWEm+1jgqZKTnlhvkb8nebvsX6TKyegvC7WvZpiH/Iwora&#10;UdDR1aVAwfah/sOVrWWACBpPJNgCtK6lyjVQNdPJq2rud8KrXAs1J/qxTfH/uZU3h7vA6qrkC86c&#10;sDSiB9Ui+wwtW6TuND6uCHTvCYYtiWnKgzySMBXd6mDTn8phpKc+H8feJmeShIvT5ZQGxpkk3XI+&#10;W55m98WztQ8RvyiwLB1KHmh2uaXicB2RMiHoAEnBjEuylF6XRj7h0ahO+U1pKosCz7KTTCh1YQI7&#10;CKJC9SMXQS6NI2Qy0bUxo9H0LSODg1GPTWYqk2w0nLxl+BxtROeI4HA0tLWD8Hdj3eGHqrtaU9nY&#10;btt+VFuojjSpAB3To5dXNbXzWkS8E4GoTROgdcVb+mgDTcmhP3G2g/DrLXnCE+NIy1lDq1Ly+HMv&#10;guLMfHXExeV0Pk+7lS/zxemMLuGlZvtS4/b2AmgEU3oYvMzHhEczHHUA+0hbvUlRSSWcpNglx+F4&#10;gd0C06sg1WaTQbRNXuC1u/cyuU7tTWR5aB9F8D2jkLh4A8NSidUrYnXYZOlgs0fQdWZdanDX1b7x&#10;tImZjP2rkVb95T2jnt+29W8AAAD//wMAUEsDBBQABgAIAAAAIQC/YEIa3gAAAAcBAAAPAAAAZHJz&#10;L2Rvd25yZXYueG1sTI9BS8NAFITvgv9heYIXsZuIhjRmU0qhB6EirVJ6fEnWbHD3bchu29hf7/Ok&#10;x2GGmW/KxeSsOOkx9J4UpLMEhKbGtz11Cj7e1/c5iBCRWrSetIJvHWBRXV+VWLT+TFt92sVOcAmF&#10;AhWYGIdCytAY7TDM/KCJvU8/Oowsx062I5653Fn5kCSZdNgTLxgc9Mro5mt3dArwzdR9uLzay+pA&#10;y/XL4wb3dxulbm+m5TOIqKf4F4ZffEaHiplqf6Q2CKsg4ydRwTwDwe48zVnXHHvKU5BVKf/zVz8A&#10;AAD//wMAUEsBAi0AFAAGAAgAAAAhALaDOJL+AAAA4QEAABMAAAAAAAAAAAAAAAAAAAAAAFtDb250&#10;ZW50X1R5cGVzXS54bWxQSwECLQAUAAYACAAAACEAOP0h/9YAAACUAQAACwAAAAAAAAAAAAAAAAAv&#10;AQAAX3JlbHMvLnJlbHNQSwECLQAUAAYACAAAACEAA5Xl1msCAAAjBQAADgAAAAAAAAAAAAAAAAAu&#10;AgAAZHJzL2Uyb0RvYy54bWxQSwECLQAUAAYACAAAACEAv2BCGt4AAAAHAQAADwAAAAAAAAAAAAAA&#10;AADFBAAAZHJzL2Rvd25yZXYueG1sUEsFBgAAAAAEAAQA8wAAANAFAAAAAA==&#10;" fillcolor="white [3201]" strokecolor="black [3200]" strokeweight="2pt">
                <v:textbox>
                  <w:txbxContent>
                    <w:p w14:paraId="4B2090E8" w14:textId="77777777" w:rsidR="00CD08BC" w:rsidRDefault="00CD08BC" w:rsidP="00BD7914">
                      <w:r>
                        <w:rPr>
                          <w:b/>
                        </w:rPr>
                        <w:t xml:space="preserve">Tuition Refund Policy for Running Start students: </w:t>
                      </w:r>
                    </w:p>
                    <w:p w14:paraId="3B63FEFB" w14:textId="77777777" w:rsidR="00CD08BC" w:rsidRDefault="00CD08BC" w:rsidP="006050EE">
                      <w:pPr>
                        <w:pStyle w:val="ListParagraph"/>
                        <w:numPr>
                          <w:ilvl w:val="0"/>
                          <w:numId w:val="3"/>
                        </w:numPr>
                        <w:spacing w:line="240" w:lineRule="auto"/>
                        <w:contextualSpacing w:val="0"/>
                      </w:pPr>
                      <w:r>
                        <w:t>Refunds of the $150 Running Start tuition fee cannot be issued by the college.  This is a Running Start Program / CCSNH (Community College System of NH) policy.</w:t>
                      </w:r>
                    </w:p>
                    <w:p w14:paraId="0639AFD7" w14:textId="77777777" w:rsidR="00CD08BC" w:rsidRDefault="00CD08BC" w:rsidP="006050EE">
                      <w:pPr>
                        <w:pStyle w:val="ListParagraph"/>
                      </w:pPr>
                      <w:r>
                        <w:tab/>
                      </w:r>
                      <w:r>
                        <w:tab/>
                      </w:r>
                      <w:r>
                        <w:tab/>
                      </w:r>
                    </w:p>
                  </w:txbxContent>
                </v:textbox>
              </v:shape>
            </w:pict>
          </mc:Fallback>
        </mc:AlternateContent>
      </w:r>
    </w:p>
    <w:p w14:paraId="03D192A0" w14:textId="77777777" w:rsidR="00BD7914" w:rsidRDefault="00BD7914" w:rsidP="009C3A18">
      <w:pPr>
        <w:rPr>
          <w:b/>
        </w:rPr>
      </w:pPr>
    </w:p>
    <w:p w14:paraId="19F2C6E4" w14:textId="77777777" w:rsidR="001F3307" w:rsidRDefault="001F3307" w:rsidP="00CD249E">
      <w:pPr>
        <w:spacing w:line="240" w:lineRule="auto"/>
        <w:rPr>
          <w:b/>
        </w:rPr>
      </w:pPr>
      <w:r>
        <w:rPr>
          <w:b/>
        </w:rPr>
        <w:t xml:space="preserve"> Policies:</w:t>
      </w:r>
    </w:p>
    <w:p w14:paraId="11C4C63D" w14:textId="77777777" w:rsidR="00353A1B" w:rsidRDefault="00353A1B" w:rsidP="00353A1B">
      <w:pPr>
        <w:pStyle w:val="ListParagraph"/>
        <w:spacing w:line="240" w:lineRule="auto"/>
        <w:rPr>
          <w:b/>
        </w:rPr>
      </w:pPr>
    </w:p>
    <w:p w14:paraId="44F5C87C" w14:textId="77777777" w:rsidR="00FE42BC" w:rsidRPr="00617F65" w:rsidRDefault="00FE42BC" w:rsidP="00FE42BC">
      <w:pPr>
        <w:pStyle w:val="ListParagraph"/>
        <w:numPr>
          <w:ilvl w:val="0"/>
          <w:numId w:val="6"/>
        </w:numPr>
        <w:spacing w:line="240" w:lineRule="auto"/>
        <w:rPr>
          <w:b/>
          <w:highlight w:val="yellow"/>
        </w:rPr>
      </w:pPr>
      <w:r w:rsidRPr="00617F65">
        <w:rPr>
          <w:b/>
          <w:highlight w:val="yellow"/>
        </w:rPr>
        <w:t>Homework</w:t>
      </w:r>
    </w:p>
    <w:p w14:paraId="24190AF9" w14:textId="77777777" w:rsidR="003D6E55" w:rsidRPr="003D6E55" w:rsidRDefault="003D6E55" w:rsidP="003D6E55">
      <w:pPr>
        <w:rPr>
          <w:b/>
          <w:sz w:val="24"/>
          <w:szCs w:val="24"/>
          <w:highlight w:val="yellow"/>
        </w:rPr>
      </w:pPr>
    </w:p>
    <w:p w14:paraId="6FC6C8B2" w14:textId="77777777" w:rsidR="001F3307" w:rsidRDefault="001F3307" w:rsidP="00CD249E">
      <w:pPr>
        <w:spacing w:line="240" w:lineRule="auto"/>
        <w:rPr>
          <w:b/>
        </w:rPr>
      </w:pPr>
    </w:p>
    <w:p w14:paraId="380E577D" w14:textId="77777777" w:rsidR="005E5D9E" w:rsidRPr="0091502B" w:rsidRDefault="00521041" w:rsidP="0091502B">
      <w:pPr>
        <w:spacing w:line="240" w:lineRule="auto"/>
        <w:rPr>
          <w:rFonts w:cstheme="minorHAnsi"/>
        </w:rPr>
      </w:pPr>
      <w:r w:rsidRPr="0091502B">
        <w:rPr>
          <w:b/>
        </w:rPr>
        <w:t>Academic Adjustments:</w:t>
      </w:r>
      <w:r w:rsidR="0036523F">
        <w:t xml:space="preserve"> </w:t>
      </w:r>
      <w:r w:rsidR="00BF718A" w:rsidRPr="0091502B">
        <w:rPr>
          <w:i/>
        </w:rPr>
        <w:t xml:space="preserve"> </w:t>
      </w:r>
      <w:r w:rsidR="005E5D9E" w:rsidRPr="0091502B">
        <w:rPr>
          <w:b/>
          <w:bCs/>
        </w:rPr>
        <w:t>Academic Adjustments/Disabilities Services:</w:t>
      </w:r>
      <w:r w:rsidR="005E5D9E">
        <w:t xml:space="preserve"> </w:t>
      </w:r>
      <w:r w:rsidR="005E5D9E" w:rsidRPr="0091502B">
        <w:rPr>
          <w:i/>
          <w:iCs/>
        </w:rPr>
        <w:t> </w:t>
      </w:r>
      <w:r w:rsidR="005E5D9E">
        <w:t>Under the Americans with Disabilities Act (ADA) of 1990 and Section 504 of the Rehabilitation Act of 1973, individuals with disabilities are entitled to academ</w:t>
      </w:r>
      <w:r w:rsidR="00CE543B">
        <w:t>ic adjustments with appropriate documentation.</w:t>
      </w:r>
      <w:r w:rsidR="005E5D9E">
        <w:t xml:space="preserve"> Students wishing to discuss services should contact the Coordinator of Disabilities Services at 603-206-8142.   Note for Running Start students: Please be advised that students currently receiving modifications in an IEP under the Individuals with Disabilities Education Act and Section 504 of the Rehabilitation Act will not be eligible for modifications in a college course in the Running Start program.  While students may be eligible for accommodations through the college’s Disabilities Services Office, students must be otherwise qualified to do college level work and address the essential elements of the course without fundamental alterations to the curriculum.  If you have questions, please contact the Disabilities Coordinator at the college offering the course in the Running Start program.</w:t>
      </w:r>
    </w:p>
    <w:p w14:paraId="193F35F2" w14:textId="77777777" w:rsidR="00521041" w:rsidRDefault="00521041" w:rsidP="005A0A3D"/>
    <w:p w14:paraId="29054F18" w14:textId="77777777" w:rsidR="00E134C4" w:rsidRDefault="00E134C4" w:rsidP="00E134C4">
      <w:pPr>
        <w:rPr>
          <w:b/>
        </w:rPr>
      </w:pPr>
      <w:r>
        <w:rPr>
          <w:b/>
        </w:rPr>
        <w:t>Blackboard Usage Policy</w:t>
      </w:r>
      <w:r w:rsidR="00F354F0">
        <w:rPr>
          <w:b/>
        </w:rPr>
        <w:t xml:space="preserve"> (if applicable)</w:t>
      </w:r>
      <w:r>
        <w:rPr>
          <w:b/>
        </w:rPr>
        <w:t xml:space="preserve">: </w:t>
      </w:r>
    </w:p>
    <w:p w14:paraId="4BB81ED0" w14:textId="77777777" w:rsidR="00E134C4" w:rsidRPr="00AB748C" w:rsidRDefault="00E134C4" w:rsidP="00E134C4">
      <w:pPr>
        <w:rPr>
          <w:sz w:val="16"/>
          <w:szCs w:val="16"/>
        </w:rPr>
      </w:pPr>
    </w:p>
    <w:p w14:paraId="7182FC42" w14:textId="77777777" w:rsidR="00E134C4" w:rsidRPr="00BF718A" w:rsidRDefault="00E134C4" w:rsidP="005E796E">
      <w:r>
        <w:rPr>
          <w:i/>
        </w:rPr>
        <w:t>Students:</w:t>
      </w:r>
      <w:r>
        <w:rPr>
          <w:i/>
        </w:rPr>
        <w:tab/>
      </w:r>
      <w:r>
        <w:rPr>
          <w:b/>
        </w:rPr>
        <w:t>EasyLogin:</w:t>
      </w:r>
      <w:r>
        <w:t xml:space="preserve"> </w:t>
      </w:r>
      <w:r w:rsidR="005E796E">
        <w:t xml:space="preserve">  </w:t>
      </w:r>
      <w:r>
        <w:t xml:space="preserve">You can access your </w:t>
      </w:r>
      <w:r w:rsidR="005E796E">
        <w:t>college e</w:t>
      </w:r>
      <w:r>
        <w:t>mail, Blackboard, the student information system</w:t>
      </w:r>
      <w:r w:rsidR="005E796E">
        <w:t xml:space="preserve"> (SIS)</w:t>
      </w:r>
      <w:r>
        <w:t xml:space="preserve">, and library resources with one username / password. </w:t>
      </w:r>
      <w:r w:rsidR="005E796E">
        <w:t xml:space="preserve">   </w:t>
      </w:r>
      <w:r>
        <w:t xml:space="preserve">Log in to SIS to obtain the username and password needed to set up your EasyLogin account. </w:t>
      </w:r>
    </w:p>
    <w:p w14:paraId="491462FE" w14:textId="77777777" w:rsidR="003D6E55" w:rsidRDefault="003D6E55" w:rsidP="00E134C4">
      <w:pPr>
        <w:rPr>
          <w:i/>
        </w:rPr>
      </w:pPr>
    </w:p>
    <w:p w14:paraId="2E267D38" w14:textId="77777777" w:rsidR="00E134C4" w:rsidRDefault="00E134C4" w:rsidP="00E134C4">
      <w:r w:rsidRPr="00AB748C">
        <w:rPr>
          <w:i/>
        </w:rPr>
        <w:t>Faculty:</w:t>
      </w:r>
      <w:r w:rsidRPr="00AB748C">
        <w:rPr>
          <w:i/>
        </w:rPr>
        <w:tab/>
      </w:r>
      <w:r>
        <w:tab/>
      </w:r>
      <w:r w:rsidR="002301D7">
        <w:t xml:space="preserve">MCC Running Start </w:t>
      </w:r>
      <w:r>
        <w:t>Instructors</w:t>
      </w:r>
      <w:r w:rsidR="002301D7">
        <w:t xml:space="preserve"> </w:t>
      </w:r>
      <w:r w:rsidR="00F354F0">
        <w:t>usually</w:t>
      </w:r>
      <w:r w:rsidR="002301D7">
        <w:t xml:space="preserve"> use MCC’s Student Information System (SIS) to post their final grades</w:t>
      </w:r>
      <w:r w:rsidR="005E796E">
        <w:t>. G</w:t>
      </w:r>
      <w:r w:rsidR="002301D7">
        <w:t xml:space="preserve">rading instructions </w:t>
      </w:r>
      <w:r w:rsidR="005E796E">
        <w:t xml:space="preserve">will be sent </w:t>
      </w:r>
      <w:r w:rsidR="002301D7">
        <w:t>later in the semester.  MCC encourage</w:t>
      </w:r>
      <w:r w:rsidR="005D2732">
        <w:t>s</w:t>
      </w:r>
      <w:r w:rsidR="002301D7">
        <w:t xml:space="preserve"> all MCC instructors to use the Blackboard Grade Center for the posting of assignment grades.</w:t>
      </w:r>
    </w:p>
    <w:p w14:paraId="159EAA1C" w14:textId="77777777" w:rsidR="00C179E4" w:rsidRDefault="00C179E4" w:rsidP="005A0A3D"/>
    <w:p w14:paraId="02F0A2B5" w14:textId="77777777" w:rsidR="00725A28" w:rsidRDefault="007B050B" w:rsidP="005A0A3D">
      <w:r>
        <w:rPr>
          <w:b/>
        </w:rPr>
        <w:t>C</w:t>
      </w:r>
      <w:r w:rsidR="0036523F">
        <w:rPr>
          <w:b/>
        </w:rPr>
        <w:t xml:space="preserve">ancellations: </w:t>
      </w:r>
      <w:r w:rsidR="0091502B">
        <w:rPr>
          <w:b/>
        </w:rPr>
        <w:t xml:space="preserve">  </w:t>
      </w:r>
      <w:r w:rsidR="005E5D9E" w:rsidRPr="005E5D9E">
        <w:t xml:space="preserve">Please follow </w:t>
      </w:r>
      <w:r w:rsidR="00353A1B">
        <w:t xml:space="preserve">your </w:t>
      </w:r>
      <w:r w:rsidR="005E5D9E" w:rsidRPr="005E5D9E">
        <w:t>school’s policy on school cancellations</w:t>
      </w:r>
      <w:r w:rsidR="005E5D9E">
        <w:rPr>
          <w:b/>
        </w:rPr>
        <w:t>.</w:t>
      </w:r>
    </w:p>
    <w:p w14:paraId="649EA583" w14:textId="77777777" w:rsidR="003D6E55" w:rsidRDefault="003D6E55" w:rsidP="005D5AB3">
      <w:pPr>
        <w:rPr>
          <w:b/>
        </w:rPr>
      </w:pPr>
    </w:p>
    <w:p w14:paraId="35406F6E" w14:textId="77777777" w:rsidR="00940625" w:rsidRDefault="00163302" w:rsidP="005D5AB3">
      <w:r>
        <w:rPr>
          <w:b/>
        </w:rPr>
        <w:t>Academic Success Center (ASC)</w:t>
      </w:r>
      <w:r w:rsidR="005D5AB3" w:rsidRPr="009D2B75">
        <w:rPr>
          <w:b/>
        </w:rPr>
        <w:t>:</w:t>
      </w:r>
      <w:r w:rsidR="005D5AB3">
        <w:t xml:space="preserve">  </w:t>
      </w:r>
      <w:r>
        <w:t>MCC’s Academic Success Center</w:t>
      </w:r>
      <w:r w:rsidR="005D5AB3">
        <w:t xml:space="preserve"> offers a variety of academic support services to MCC students including peer and professional tutoring.  There is no charge to students for these services. </w:t>
      </w:r>
      <w:r w:rsidR="00147140">
        <w:t xml:space="preserve"> Visit:</w:t>
      </w:r>
      <w:r>
        <w:t xml:space="preserve">   </w:t>
      </w:r>
      <w:r w:rsidR="00147140">
        <w:t xml:space="preserve"> </w:t>
      </w:r>
      <w:hyperlink r:id="rId9" w:history="1">
        <w:r w:rsidRPr="005119D5">
          <w:rPr>
            <w:rStyle w:val="Hyperlink"/>
            <w:rFonts w:cstheme="minorBidi"/>
          </w:rPr>
          <w:t>http://www.mccnh.edu/services/academic-success-center</w:t>
        </w:r>
      </w:hyperlink>
      <w:r>
        <w:t xml:space="preserve"> </w:t>
      </w:r>
    </w:p>
    <w:p w14:paraId="03FF9B77" w14:textId="77777777" w:rsidR="00940625" w:rsidRDefault="00940625" w:rsidP="005D5AB3">
      <w:pPr>
        <w:rPr>
          <w:b/>
        </w:rPr>
      </w:pPr>
    </w:p>
    <w:sectPr w:rsidR="00940625" w:rsidSect="00C81F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C891E" w14:textId="77777777" w:rsidR="003E04E7" w:rsidRDefault="003E04E7" w:rsidP="006258A6">
      <w:pPr>
        <w:spacing w:line="240" w:lineRule="auto"/>
      </w:pPr>
      <w:r>
        <w:separator/>
      </w:r>
    </w:p>
  </w:endnote>
  <w:endnote w:type="continuationSeparator" w:id="0">
    <w:p w14:paraId="2D70CC5F" w14:textId="77777777" w:rsidR="003E04E7" w:rsidRDefault="003E04E7" w:rsidP="00625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73561"/>
      <w:docPartObj>
        <w:docPartGallery w:val="Page Numbers (Bottom of Page)"/>
        <w:docPartUnique/>
      </w:docPartObj>
    </w:sdtPr>
    <w:sdtEndPr>
      <w:rPr>
        <w:noProof/>
      </w:rPr>
    </w:sdtEndPr>
    <w:sdtContent>
      <w:p w14:paraId="70502839" w14:textId="77777777" w:rsidR="00CD08BC" w:rsidRDefault="00CD08BC">
        <w:pPr>
          <w:pStyle w:val="Footer"/>
          <w:jc w:val="right"/>
        </w:pPr>
        <w:r w:rsidRPr="00147140">
          <w:rPr>
            <w:rFonts w:cstheme="minorHAnsi"/>
          </w:rPr>
          <w:fldChar w:fldCharType="begin"/>
        </w:r>
        <w:r w:rsidRPr="00147140">
          <w:rPr>
            <w:rFonts w:cstheme="minorHAnsi"/>
          </w:rPr>
          <w:instrText xml:space="preserve"> PAGE   \* MERGEFORMAT </w:instrText>
        </w:r>
        <w:r w:rsidRPr="00147140">
          <w:rPr>
            <w:rFonts w:cstheme="minorHAnsi"/>
          </w:rPr>
          <w:fldChar w:fldCharType="separate"/>
        </w:r>
        <w:r w:rsidR="00B9052D">
          <w:rPr>
            <w:rFonts w:cstheme="minorHAnsi"/>
            <w:noProof/>
          </w:rPr>
          <w:t>1</w:t>
        </w:r>
        <w:r w:rsidRPr="00147140">
          <w:rPr>
            <w:rFonts w:cstheme="minorHAnsi"/>
            <w:noProof/>
          </w:rPr>
          <w:fldChar w:fldCharType="end"/>
        </w:r>
      </w:p>
    </w:sdtContent>
  </w:sdt>
  <w:p w14:paraId="4E2414B5" w14:textId="77777777" w:rsidR="00CD08BC" w:rsidRDefault="00CD0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AC99" w14:textId="77777777" w:rsidR="003E04E7" w:rsidRDefault="003E04E7" w:rsidP="006258A6">
      <w:pPr>
        <w:spacing w:line="240" w:lineRule="auto"/>
      </w:pPr>
      <w:r>
        <w:separator/>
      </w:r>
    </w:p>
  </w:footnote>
  <w:footnote w:type="continuationSeparator" w:id="0">
    <w:p w14:paraId="7879DB95" w14:textId="77777777" w:rsidR="003E04E7" w:rsidRDefault="003E04E7" w:rsidP="006258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90F19"/>
    <w:multiLevelType w:val="hybridMultilevel"/>
    <w:tmpl w:val="9AE0E86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
    <w:nsid w:val="1D4A514F"/>
    <w:multiLevelType w:val="hybridMultilevel"/>
    <w:tmpl w:val="2A0C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302DA"/>
    <w:multiLevelType w:val="hybridMultilevel"/>
    <w:tmpl w:val="3C94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05598"/>
    <w:multiLevelType w:val="hybridMultilevel"/>
    <w:tmpl w:val="4910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D4EE0"/>
    <w:multiLevelType w:val="hybridMultilevel"/>
    <w:tmpl w:val="42DE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D30AD"/>
    <w:multiLevelType w:val="hybridMultilevel"/>
    <w:tmpl w:val="350A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66813"/>
    <w:multiLevelType w:val="hybridMultilevel"/>
    <w:tmpl w:val="F3B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A6"/>
    <w:rsid w:val="00025344"/>
    <w:rsid w:val="00056443"/>
    <w:rsid w:val="000A1E5C"/>
    <w:rsid w:val="000A2C31"/>
    <w:rsid w:val="000B783D"/>
    <w:rsid w:val="00144BB9"/>
    <w:rsid w:val="00147140"/>
    <w:rsid w:val="00147D07"/>
    <w:rsid w:val="00163302"/>
    <w:rsid w:val="001730B1"/>
    <w:rsid w:val="001E3EC3"/>
    <w:rsid w:val="001F3307"/>
    <w:rsid w:val="0022397D"/>
    <w:rsid w:val="002301D7"/>
    <w:rsid w:val="0023599A"/>
    <w:rsid w:val="002428E0"/>
    <w:rsid w:val="00250D15"/>
    <w:rsid w:val="00257F22"/>
    <w:rsid w:val="00271AA8"/>
    <w:rsid w:val="0027334B"/>
    <w:rsid w:val="002C1315"/>
    <w:rsid w:val="003347D9"/>
    <w:rsid w:val="00353A1B"/>
    <w:rsid w:val="0036523F"/>
    <w:rsid w:val="003D217E"/>
    <w:rsid w:val="003D6E55"/>
    <w:rsid w:val="003E04E7"/>
    <w:rsid w:val="003E51E2"/>
    <w:rsid w:val="0041004F"/>
    <w:rsid w:val="00414A00"/>
    <w:rsid w:val="00450680"/>
    <w:rsid w:val="00455FA4"/>
    <w:rsid w:val="004B1BDC"/>
    <w:rsid w:val="004C5EA3"/>
    <w:rsid w:val="00504DBB"/>
    <w:rsid w:val="00521041"/>
    <w:rsid w:val="005A0A3D"/>
    <w:rsid w:val="005B5403"/>
    <w:rsid w:val="005C1B95"/>
    <w:rsid w:val="005D2732"/>
    <w:rsid w:val="005D5AB3"/>
    <w:rsid w:val="005E5D9E"/>
    <w:rsid w:val="005E796E"/>
    <w:rsid w:val="006050EE"/>
    <w:rsid w:val="00617F65"/>
    <w:rsid w:val="006258A6"/>
    <w:rsid w:val="0062667C"/>
    <w:rsid w:val="006838C1"/>
    <w:rsid w:val="006C123D"/>
    <w:rsid w:val="00702308"/>
    <w:rsid w:val="007251E2"/>
    <w:rsid w:val="00725A28"/>
    <w:rsid w:val="0079093F"/>
    <w:rsid w:val="007B050B"/>
    <w:rsid w:val="00836B28"/>
    <w:rsid w:val="00891142"/>
    <w:rsid w:val="008B4037"/>
    <w:rsid w:val="008B52D2"/>
    <w:rsid w:val="0091305B"/>
    <w:rsid w:val="0091502B"/>
    <w:rsid w:val="00923727"/>
    <w:rsid w:val="00940625"/>
    <w:rsid w:val="009763F5"/>
    <w:rsid w:val="009A057A"/>
    <w:rsid w:val="009A5D68"/>
    <w:rsid w:val="009C3A18"/>
    <w:rsid w:val="00A03FDD"/>
    <w:rsid w:val="00A4589B"/>
    <w:rsid w:val="00A5429E"/>
    <w:rsid w:val="00A64712"/>
    <w:rsid w:val="00A7095A"/>
    <w:rsid w:val="00A81B4C"/>
    <w:rsid w:val="00AA3941"/>
    <w:rsid w:val="00AB748C"/>
    <w:rsid w:val="00AD57D3"/>
    <w:rsid w:val="00B07793"/>
    <w:rsid w:val="00B703F0"/>
    <w:rsid w:val="00B9052D"/>
    <w:rsid w:val="00BC2A13"/>
    <w:rsid w:val="00BD7914"/>
    <w:rsid w:val="00BF718A"/>
    <w:rsid w:val="00C179E4"/>
    <w:rsid w:val="00C560AA"/>
    <w:rsid w:val="00C62F0D"/>
    <w:rsid w:val="00C81F51"/>
    <w:rsid w:val="00C82F53"/>
    <w:rsid w:val="00CD08BC"/>
    <w:rsid w:val="00CD249E"/>
    <w:rsid w:val="00CE543B"/>
    <w:rsid w:val="00D21D6C"/>
    <w:rsid w:val="00D26A7F"/>
    <w:rsid w:val="00D52DBB"/>
    <w:rsid w:val="00D755BD"/>
    <w:rsid w:val="00D93666"/>
    <w:rsid w:val="00E134C4"/>
    <w:rsid w:val="00E2416A"/>
    <w:rsid w:val="00EA394D"/>
    <w:rsid w:val="00EB4D43"/>
    <w:rsid w:val="00EB7497"/>
    <w:rsid w:val="00EE6A0F"/>
    <w:rsid w:val="00EE70F2"/>
    <w:rsid w:val="00EF6DCA"/>
    <w:rsid w:val="00F354F0"/>
    <w:rsid w:val="00F35558"/>
    <w:rsid w:val="00F71069"/>
    <w:rsid w:val="00F82DC4"/>
    <w:rsid w:val="00F97518"/>
    <w:rsid w:val="00F9785A"/>
    <w:rsid w:val="00FC1253"/>
    <w:rsid w:val="00FE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3D987"/>
  <w15:docId w15:val="{D4DB0BCC-BD4E-4FC9-A3D9-3FCBCD6A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A6"/>
    <w:rPr>
      <w:rFonts w:ascii="Tahoma" w:hAnsi="Tahoma" w:cs="Tahoma"/>
      <w:sz w:val="16"/>
      <w:szCs w:val="16"/>
    </w:rPr>
  </w:style>
  <w:style w:type="paragraph" w:styleId="Header">
    <w:name w:val="header"/>
    <w:basedOn w:val="Normal"/>
    <w:link w:val="HeaderChar"/>
    <w:uiPriority w:val="99"/>
    <w:unhideWhenUsed/>
    <w:rsid w:val="006258A6"/>
    <w:pPr>
      <w:tabs>
        <w:tab w:val="center" w:pos="4680"/>
        <w:tab w:val="right" w:pos="9360"/>
      </w:tabs>
      <w:spacing w:line="240" w:lineRule="auto"/>
    </w:pPr>
  </w:style>
  <w:style w:type="character" w:customStyle="1" w:styleId="HeaderChar">
    <w:name w:val="Header Char"/>
    <w:basedOn w:val="DefaultParagraphFont"/>
    <w:link w:val="Header"/>
    <w:uiPriority w:val="99"/>
    <w:rsid w:val="006258A6"/>
  </w:style>
  <w:style w:type="paragraph" w:styleId="Footer">
    <w:name w:val="footer"/>
    <w:basedOn w:val="Normal"/>
    <w:link w:val="FooterChar"/>
    <w:uiPriority w:val="99"/>
    <w:unhideWhenUsed/>
    <w:rsid w:val="006258A6"/>
    <w:pPr>
      <w:tabs>
        <w:tab w:val="center" w:pos="4680"/>
        <w:tab w:val="right" w:pos="9360"/>
      </w:tabs>
      <w:spacing w:line="240" w:lineRule="auto"/>
    </w:pPr>
  </w:style>
  <w:style w:type="character" w:customStyle="1" w:styleId="FooterChar">
    <w:name w:val="Footer Char"/>
    <w:basedOn w:val="DefaultParagraphFont"/>
    <w:link w:val="Footer"/>
    <w:uiPriority w:val="99"/>
    <w:rsid w:val="006258A6"/>
  </w:style>
  <w:style w:type="table" w:styleId="TableGrid">
    <w:name w:val="Table Grid"/>
    <w:basedOn w:val="TableNormal"/>
    <w:uiPriority w:val="59"/>
    <w:rsid w:val="00C560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52DBB"/>
    <w:rPr>
      <w:color w:val="808080"/>
    </w:rPr>
  </w:style>
  <w:style w:type="paragraph" w:customStyle="1" w:styleId="Default">
    <w:name w:val="Default"/>
    <w:rsid w:val="00EB7497"/>
    <w:pPr>
      <w:autoSpaceDE w:val="0"/>
      <w:autoSpaceDN w:val="0"/>
      <w:adjustRightInd w:val="0"/>
      <w:spacing w:line="240" w:lineRule="auto"/>
    </w:pPr>
    <w:rPr>
      <w:rFonts w:ascii="Arial" w:eastAsia="Times New Roman" w:hAnsi="Arial" w:cs="Arial"/>
      <w:color w:val="000000"/>
      <w:sz w:val="24"/>
      <w:szCs w:val="24"/>
    </w:rPr>
  </w:style>
  <w:style w:type="character" w:styleId="CommentReference">
    <w:name w:val="annotation reference"/>
    <w:basedOn w:val="DefaultParagraphFont"/>
    <w:rsid w:val="00BF718A"/>
    <w:rPr>
      <w:rFonts w:cs="Times New Roman"/>
      <w:sz w:val="16"/>
      <w:szCs w:val="16"/>
    </w:rPr>
  </w:style>
  <w:style w:type="paragraph" w:styleId="CommentText">
    <w:name w:val="annotation text"/>
    <w:basedOn w:val="Normal"/>
    <w:link w:val="CommentTextChar"/>
    <w:rsid w:val="00BF718A"/>
    <w:pPr>
      <w:spacing w:after="200" w:line="240" w:lineRule="auto"/>
    </w:pPr>
    <w:rPr>
      <w:sz w:val="20"/>
      <w:szCs w:val="20"/>
    </w:rPr>
  </w:style>
  <w:style w:type="character" w:customStyle="1" w:styleId="CommentTextChar">
    <w:name w:val="Comment Text Char"/>
    <w:basedOn w:val="DefaultParagraphFont"/>
    <w:link w:val="CommentText"/>
    <w:rsid w:val="00BF718A"/>
    <w:rPr>
      <w:sz w:val="20"/>
      <w:szCs w:val="20"/>
    </w:rPr>
  </w:style>
  <w:style w:type="character" w:styleId="Hyperlink">
    <w:name w:val="Hyperlink"/>
    <w:basedOn w:val="DefaultParagraphFont"/>
    <w:rsid w:val="007B050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C179E4"/>
    <w:pPr>
      <w:spacing w:after="0"/>
    </w:pPr>
    <w:rPr>
      <w:b/>
      <w:bCs/>
    </w:rPr>
  </w:style>
  <w:style w:type="character" w:customStyle="1" w:styleId="CommentSubjectChar">
    <w:name w:val="Comment Subject Char"/>
    <w:basedOn w:val="CommentTextChar"/>
    <w:link w:val="CommentSubject"/>
    <w:uiPriority w:val="99"/>
    <w:semiHidden/>
    <w:rsid w:val="00C179E4"/>
    <w:rPr>
      <w:b/>
      <w:bCs/>
      <w:sz w:val="20"/>
      <w:szCs w:val="20"/>
    </w:rPr>
  </w:style>
  <w:style w:type="paragraph" w:styleId="ListParagraph">
    <w:name w:val="List Paragraph"/>
    <w:basedOn w:val="Normal"/>
    <w:uiPriority w:val="34"/>
    <w:qFormat/>
    <w:rsid w:val="00A4589B"/>
    <w:pPr>
      <w:ind w:left="720"/>
      <w:contextualSpacing/>
    </w:pPr>
  </w:style>
  <w:style w:type="character" w:styleId="FollowedHyperlink">
    <w:name w:val="FollowedHyperlink"/>
    <w:basedOn w:val="DefaultParagraphFont"/>
    <w:uiPriority w:val="99"/>
    <w:semiHidden/>
    <w:unhideWhenUsed/>
    <w:rsid w:val="005E5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86928">
      <w:bodyDiv w:val="1"/>
      <w:marLeft w:val="0"/>
      <w:marRight w:val="0"/>
      <w:marTop w:val="0"/>
      <w:marBottom w:val="0"/>
      <w:divBdr>
        <w:top w:val="none" w:sz="0" w:space="0" w:color="auto"/>
        <w:left w:val="none" w:sz="0" w:space="0" w:color="auto"/>
        <w:bottom w:val="none" w:sz="0" w:space="0" w:color="auto"/>
        <w:right w:val="none" w:sz="0" w:space="0" w:color="auto"/>
      </w:divBdr>
      <w:divsChild>
        <w:div w:id="1668360092">
          <w:marLeft w:val="0"/>
          <w:marRight w:val="0"/>
          <w:marTop w:val="0"/>
          <w:marBottom w:val="0"/>
          <w:divBdr>
            <w:top w:val="none" w:sz="0" w:space="0" w:color="auto"/>
            <w:left w:val="none" w:sz="0" w:space="0" w:color="auto"/>
            <w:bottom w:val="none" w:sz="0" w:space="0" w:color="auto"/>
            <w:right w:val="none" w:sz="0" w:space="0" w:color="auto"/>
          </w:divBdr>
        </w:div>
        <w:div w:id="7184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n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ccnh.edu/services/academic-succes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951E-DF94-4175-B853-0F401DFE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Elizabeth Stull</cp:lastModifiedBy>
  <cp:revision>2</cp:revision>
  <cp:lastPrinted>2015-08-19T17:05:00Z</cp:lastPrinted>
  <dcterms:created xsi:type="dcterms:W3CDTF">2017-11-17T15:26:00Z</dcterms:created>
  <dcterms:modified xsi:type="dcterms:W3CDTF">2017-11-17T15:26:00Z</dcterms:modified>
</cp:coreProperties>
</file>